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F6C" w:rsidRDefault="00EB0F6C"/>
    <w:tbl>
      <w:tblPr>
        <w:tblW w:w="9747" w:type="dxa"/>
        <w:tblLayout w:type="fixed"/>
        <w:tblLook w:val="01E0"/>
      </w:tblPr>
      <w:tblGrid>
        <w:gridCol w:w="4786"/>
        <w:gridCol w:w="4961"/>
      </w:tblGrid>
      <w:tr w:rsidR="003F77A9" w:rsidRPr="00D442CD"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274DA9" w:rsidRDefault="003F77A9" w:rsidP="00480689">
            <w:pPr>
              <w:rPr>
                <w:rFonts w:ascii="Arial" w:hAnsi="Arial" w:cs="Arial"/>
              </w:rPr>
            </w:pPr>
            <w:r w:rsidRPr="00274DA9">
              <w:rPr>
                <w:rFonts w:ascii="Arial" w:hAnsi="Arial" w:cs="Arial"/>
                <w:sz w:val="22"/>
                <w:szCs w:val="22"/>
              </w:rPr>
              <w:t>УТВЕРЖДЕН</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Решением годового общего собрания</w:t>
            </w:r>
          </w:p>
          <w:p w:rsidR="003F77A9" w:rsidRPr="00274DA9" w:rsidRDefault="003F77A9" w:rsidP="00480689">
            <w:pPr>
              <w:rPr>
                <w:rFonts w:ascii="Arial" w:hAnsi="Arial" w:cs="Arial"/>
              </w:rPr>
            </w:pPr>
          </w:p>
          <w:p w:rsidR="003F77A9" w:rsidRPr="00274DA9" w:rsidRDefault="007630EC" w:rsidP="00480689">
            <w:pPr>
              <w:rPr>
                <w:rFonts w:ascii="Arial" w:hAnsi="Arial" w:cs="Arial"/>
              </w:rPr>
            </w:pPr>
            <w:r w:rsidRPr="00274DA9">
              <w:rPr>
                <w:rFonts w:ascii="Arial" w:hAnsi="Arial" w:cs="Arial"/>
                <w:sz w:val="22"/>
                <w:szCs w:val="22"/>
              </w:rPr>
              <w:t xml:space="preserve">акционеров </w:t>
            </w:r>
            <w:r w:rsidR="00D70C44">
              <w:rPr>
                <w:rFonts w:ascii="Arial" w:hAnsi="Arial" w:cs="Arial"/>
                <w:sz w:val="22"/>
                <w:szCs w:val="22"/>
              </w:rPr>
              <w:t>"_____"</w:t>
            </w:r>
            <w:r w:rsidR="00D70C44" w:rsidRPr="00D70C44">
              <w:rPr>
                <w:rFonts w:ascii="Arial" w:hAnsi="Arial" w:cs="Arial"/>
                <w:sz w:val="22"/>
                <w:szCs w:val="22"/>
              </w:rPr>
              <w:t xml:space="preserve"> </w:t>
            </w:r>
            <w:r w:rsidR="00D70C44">
              <w:rPr>
                <w:rFonts w:ascii="Arial" w:hAnsi="Arial" w:cs="Arial"/>
                <w:sz w:val="22"/>
                <w:szCs w:val="22"/>
              </w:rPr>
              <w:t>____________</w:t>
            </w:r>
            <w:r w:rsidR="003F77A9" w:rsidRPr="00D70C44">
              <w:rPr>
                <w:rFonts w:ascii="Arial" w:hAnsi="Arial" w:cs="Arial"/>
                <w:sz w:val="22"/>
                <w:szCs w:val="22"/>
              </w:rPr>
              <w:t xml:space="preserve"> 20</w:t>
            </w:r>
            <w:r w:rsidR="00225B3D" w:rsidRPr="00D70C44">
              <w:rPr>
                <w:rFonts w:ascii="Arial" w:hAnsi="Arial" w:cs="Arial"/>
                <w:sz w:val="22"/>
                <w:szCs w:val="22"/>
              </w:rPr>
              <w:t>2</w:t>
            </w:r>
            <w:r w:rsidR="006E6D84" w:rsidRPr="00D70C44">
              <w:rPr>
                <w:rFonts w:ascii="Arial" w:hAnsi="Arial" w:cs="Arial"/>
                <w:sz w:val="22"/>
                <w:szCs w:val="22"/>
              </w:rPr>
              <w:t>2</w:t>
            </w:r>
            <w:r w:rsidR="003F77A9" w:rsidRPr="00D70C44">
              <w:rPr>
                <w:rFonts w:ascii="Arial" w:hAnsi="Arial" w:cs="Arial"/>
                <w:sz w:val="22"/>
                <w:szCs w:val="22"/>
              </w:rPr>
              <w:t xml:space="preserve"> года</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Председатель собрания</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__________________ /</w:t>
            </w:r>
            <w:r w:rsidRPr="00274DA9">
              <w:rPr>
                <w:rFonts w:ascii="Arial" w:hAnsi="Arial" w:cs="Arial"/>
                <w:sz w:val="22"/>
                <w:szCs w:val="22"/>
              </w:rPr>
              <w:tab/>
            </w:r>
            <w:r w:rsidRPr="00274DA9">
              <w:rPr>
                <w:rFonts w:ascii="Arial" w:hAnsi="Arial" w:cs="Arial"/>
                <w:sz w:val="22"/>
                <w:szCs w:val="22"/>
              </w:rPr>
              <w:tab/>
            </w:r>
            <w:r w:rsidRPr="00274DA9">
              <w:rPr>
                <w:rFonts w:ascii="Arial" w:hAnsi="Arial" w:cs="Arial"/>
                <w:sz w:val="22"/>
                <w:szCs w:val="22"/>
              </w:rPr>
              <w:tab/>
              <w:t>/</w:t>
            </w:r>
          </w:p>
        </w:tc>
      </w:tr>
    </w:tbl>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274B03" w:rsidRDefault="003F77A9" w:rsidP="003F77A9">
      <w:pPr>
        <w:pStyle w:val="a4"/>
        <w:rPr>
          <w:rFonts w:ascii="Arial" w:hAnsi="Arial" w:cs="Arial"/>
          <w:sz w:val="44"/>
          <w:szCs w:val="44"/>
        </w:rPr>
      </w:pPr>
      <w:r w:rsidRPr="00274B03">
        <w:rPr>
          <w:rFonts w:ascii="Arial" w:hAnsi="Arial" w:cs="Arial"/>
          <w:sz w:val="44"/>
          <w:szCs w:val="44"/>
        </w:rPr>
        <w:t>ГОДОВОЙ ОТЧЕТ</w:t>
      </w:r>
    </w:p>
    <w:p w:rsidR="003F77A9" w:rsidRPr="00274B03" w:rsidRDefault="00A1757D" w:rsidP="003F77A9">
      <w:pPr>
        <w:pStyle w:val="a4"/>
        <w:rPr>
          <w:rFonts w:ascii="Arial" w:hAnsi="Arial" w:cs="Arial"/>
          <w:sz w:val="44"/>
          <w:szCs w:val="44"/>
        </w:rPr>
      </w:pPr>
      <w:r w:rsidRPr="00274B03">
        <w:rPr>
          <w:rFonts w:ascii="Arial" w:hAnsi="Arial" w:cs="Arial"/>
          <w:sz w:val="44"/>
          <w:szCs w:val="44"/>
        </w:rPr>
        <w:t>публичного</w:t>
      </w:r>
      <w:r w:rsidR="003F77A9" w:rsidRPr="00274B03">
        <w:rPr>
          <w:rFonts w:ascii="Arial" w:hAnsi="Arial" w:cs="Arial"/>
          <w:sz w:val="44"/>
          <w:szCs w:val="44"/>
        </w:rPr>
        <w:t xml:space="preserve"> акционерного общества</w:t>
      </w:r>
    </w:p>
    <w:p w:rsidR="003F77A9" w:rsidRPr="00274B03" w:rsidRDefault="003F77A9" w:rsidP="003F77A9">
      <w:pPr>
        <w:pStyle w:val="a4"/>
        <w:rPr>
          <w:rFonts w:ascii="Arial" w:hAnsi="Arial" w:cs="Arial"/>
          <w:sz w:val="44"/>
          <w:szCs w:val="44"/>
        </w:rPr>
      </w:pPr>
      <w:r w:rsidRPr="00274B03">
        <w:rPr>
          <w:rFonts w:ascii="Arial" w:hAnsi="Arial" w:cs="Arial"/>
          <w:sz w:val="44"/>
          <w:szCs w:val="44"/>
        </w:rPr>
        <w:t>«Косогорский металлургический завод»</w:t>
      </w:r>
    </w:p>
    <w:p w:rsidR="003F77A9" w:rsidRPr="00274B03" w:rsidRDefault="003F77A9" w:rsidP="003F77A9">
      <w:pPr>
        <w:pStyle w:val="a4"/>
        <w:rPr>
          <w:rFonts w:ascii="Arial" w:hAnsi="Arial" w:cs="Arial"/>
          <w:sz w:val="44"/>
          <w:szCs w:val="44"/>
        </w:rPr>
      </w:pPr>
      <w:r w:rsidRPr="00076FD1">
        <w:rPr>
          <w:rFonts w:ascii="Arial" w:hAnsi="Arial" w:cs="Arial"/>
          <w:sz w:val="44"/>
          <w:szCs w:val="44"/>
        </w:rPr>
        <w:t>за 20</w:t>
      </w:r>
      <w:r w:rsidR="00B903B7">
        <w:rPr>
          <w:rFonts w:ascii="Arial" w:hAnsi="Arial" w:cs="Arial"/>
          <w:sz w:val="44"/>
          <w:szCs w:val="44"/>
        </w:rPr>
        <w:t>2</w:t>
      </w:r>
      <w:r w:rsidR="00E90147">
        <w:rPr>
          <w:rFonts w:ascii="Arial" w:hAnsi="Arial" w:cs="Arial"/>
          <w:sz w:val="44"/>
          <w:szCs w:val="44"/>
        </w:rPr>
        <w:t>1</w:t>
      </w:r>
      <w:r w:rsidRPr="00076FD1">
        <w:rPr>
          <w:rFonts w:ascii="Arial" w:hAnsi="Arial" w:cs="Arial"/>
          <w:sz w:val="44"/>
          <w:szCs w:val="44"/>
        </w:rPr>
        <w:t xml:space="preserve"> год</w:t>
      </w: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70C44" w:rsidRDefault="003F77A9" w:rsidP="003F77A9">
      <w:pPr>
        <w:rPr>
          <w:rFonts w:ascii="Arial" w:hAnsi="Arial" w:cs="Arial"/>
          <w:sz w:val="28"/>
          <w:szCs w:val="28"/>
          <w:highlight w:val="yellow"/>
        </w:rPr>
      </w:pPr>
    </w:p>
    <w:p w:rsidR="003F77A9" w:rsidRPr="00D70C44" w:rsidRDefault="003F77A9" w:rsidP="003F77A9">
      <w:pPr>
        <w:rPr>
          <w:rFonts w:ascii="Arial" w:hAnsi="Arial" w:cs="Arial"/>
          <w:sz w:val="28"/>
          <w:szCs w:val="28"/>
          <w:highlight w:val="yellow"/>
        </w:rPr>
      </w:pPr>
    </w:p>
    <w:tbl>
      <w:tblPr>
        <w:tblW w:w="9710" w:type="dxa"/>
        <w:tblLook w:val="01E0"/>
      </w:tblPr>
      <w:tblGrid>
        <w:gridCol w:w="1684"/>
        <w:gridCol w:w="5937"/>
        <w:gridCol w:w="2089"/>
      </w:tblGrid>
      <w:tr w:rsidR="002279B6" w:rsidRPr="00D70C44" w:rsidTr="007F7616">
        <w:tc>
          <w:tcPr>
            <w:tcW w:w="1684" w:type="dxa"/>
          </w:tcPr>
          <w:p w:rsidR="002279B6" w:rsidRPr="00D70C44" w:rsidRDefault="002279B6" w:rsidP="00480689">
            <w:pPr>
              <w:rPr>
                <w:rFonts w:ascii="Arial" w:hAnsi="Arial" w:cs="Arial"/>
              </w:rPr>
            </w:pPr>
          </w:p>
        </w:tc>
        <w:tc>
          <w:tcPr>
            <w:tcW w:w="5937" w:type="dxa"/>
          </w:tcPr>
          <w:p w:rsidR="002279B6" w:rsidRPr="00D70C44" w:rsidRDefault="002279B6" w:rsidP="00D70C44">
            <w:pPr>
              <w:spacing w:line="360" w:lineRule="auto"/>
              <w:ind w:left="-119" w:right="-108"/>
              <w:rPr>
                <w:rFonts w:ascii="Arial" w:hAnsi="Arial" w:cs="Arial"/>
              </w:rPr>
            </w:pPr>
            <w:r w:rsidRPr="00D70C44">
              <w:rPr>
                <w:rFonts w:ascii="Arial" w:hAnsi="Arial" w:cs="Arial"/>
                <w:sz w:val="22"/>
                <w:szCs w:val="22"/>
              </w:rPr>
              <w:t xml:space="preserve">Дата предварительного утверждения советом директоров Общества: </w:t>
            </w:r>
            <w:r w:rsidR="00D70C44" w:rsidRPr="00D70C44">
              <w:rPr>
                <w:rFonts w:ascii="Arial" w:hAnsi="Arial" w:cs="Arial"/>
                <w:sz w:val="22"/>
                <w:szCs w:val="22"/>
              </w:rPr>
              <w:t>"</w:t>
            </w:r>
            <w:r w:rsidR="007643BF" w:rsidRPr="00D70C44">
              <w:rPr>
                <w:rFonts w:ascii="Arial" w:hAnsi="Arial" w:cs="Arial"/>
                <w:sz w:val="22"/>
                <w:szCs w:val="22"/>
              </w:rPr>
              <w:t>__</w:t>
            </w:r>
            <w:r w:rsidR="00D70C44" w:rsidRPr="00D70C44">
              <w:rPr>
                <w:rFonts w:ascii="Arial" w:hAnsi="Arial" w:cs="Arial"/>
                <w:sz w:val="22"/>
                <w:szCs w:val="22"/>
              </w:rPr>
              <w:t>__"</w:t>
            </w:r>
            <w:r w:rsidRPr="00D70C44">
              <w:rPr>
                <w:rFonts w:ascii="Arial" w:hAnsi="Arial" w:cs="Arial"/>
                <w:sz w:val="22"/>
                <w:szCs w:val="22"/>
              </w:rPr>
              <w:t xml:space="preserve"> </w:t>
            </w:r>
            <w:r w:rsidR="007643BF" w:rsidRPr="00D70C44">
              <w:rPr>
                <w:rFonts w:ascii="Arial" w:hAnsi="Arial" w:cs="Arial"/>
                <w:sz w:val="22"/>
                <w:szCs w:val="22"/>
              </w:rPr>
              <w:t xml:space="preserve"> мая </w:t>
            </w:r>
            <w:r w:rsidRPr="00D70C44">
              <w:rPr>
                <w:rFonts w:ascii="Arial" w:hAnsi="Arial" w:cs="Arial"/>
                <w:sz w:val="22"/>
                <w:szCs w:val="22"/>
              </w:rPr>
              <w:t xml:space="preserve"> 20</w:t>
            </w:r>
            <w:r w:rsidR="00E90147" w:rsidRPr="00D70C44">
              <w:rPr>
                <w:rFonts w:ascii="Arial" w:hAnsi="Arial" w:cs="Arial"/>
                <w:sz w:val="22"/>
                <w:szCs w:val="22"/>
              </w:rPr>
              <w:t>22</w:t>
            </w:r>
            <w:r w:rsidRPr="00D70C44">
              <w:rPr>
                <w:rFonts w:ascii="Arial" w:hAnsi="Arial" w:cs="Arial"/>
                <w:sz w:val="22"/>
                <w:szCs w:val="22"/>
              </w:rPr>
              <w:t xml:space="preserve"> г.</w:t>
            </w:r>
          </w:p>
          <w:p w:rsidR="002279B6" w:rsidRPr="00D70C44" w:rsidRDefault="002279B6" w:rsidP="00D70C44">
            <w:pPr>
              <w:spacing w:line="360" w:lineRule="auto"/>
              <w:ind w:left="-119" w:right="-108"/>
              <w:rPr>
                <w:rFonts w:ascii="Arial" w:hAnsi="Arial" w:cs="Arial"/>
              </w:rPr>
            </w:pPr>
            <w:r w:rsidRPr="00D70C44">
              <w:rPr>
                <w:rFonts w:ascii="Arial" w:hAnsi="Arial" w:cs="Arial"/>
                <w:sz w:val="22"/>
                <w:szCs w:val="22"/>
              </w:rPr>
              <w:t>(протокол №</w:t>
            </w:r>
            <w:r w:rsidR="00D70C44" w:rsidRPr="00D70C44">
              <w:rPr>
                <w:rFonts w:ascii="Arial" w:hAnsi="Arial" w:cs="Arial"/>
                <w:sz w:val="22"/>
                <w:szCs w:val="22"/>
              </w:rPr>
              <w:t xml:space="preserve"> </w:t>
            </w:r>
            <w:r w:rsidR="007643BF" w:rsidRPr="00D70C44">
              <w:rPr>
                <w:rFonts w:ascii="Arial" w:hAnsi="Arial" w:cs="Arial"/>
                <w:sz w:val="22"/>
                <w:szCs w:val="22"/>
              </w:rPr>
              <w:t>_</w:t>
            </w:r>
            <w:r w:rsidR="00D70C44" w:rsidRPr="00D70C44">
              <w:rPr>
                <w:rFonts w:ascii="Arial" w:hAnsi="Arial" w:cs="Arial"/>
                <w:sz w:val="22"/>
                <w:szCs w:val="22"/>
              </w:rPr>
              <w:t>__</w:t>
            </w:r>
            <w:r w:rsidR="007643BF" w:rsidRPr="00D70C44">
              <w:rPr>
                <w:rFonts w:ascii="Arial" w:hAnsi="Arial" w:cs="Arial"/>
                <w:sz w:val="22"/>
                <w:szCs w:val="22"/>
              </w:rPr>
              <w:t>_</w:t>
            </w:r>
            <w:r w:rsidRPr="00D70C44">
              <w:rPr>
                <w:rFonts w:ascii="Arial" w:hAnsi="Arial" w:cs="Arial"/>
                <w:sz w:val="22"/>
                <w:szCs w:val="22"/>
              </w:rPr>
              <w:t>)</w:t>
            </w:r>
          </w:p>
        </w:tc>
        <w:tc>
          <w:tcPr>
            <w:tcW w:w="2089" w:type="dxa"/>
          </w:tcPr>
          <w:p w:rsidR="002279B6" w:rsidRPr="00D70C44" w:rsidRDefault="002279B6" w:rsidP="000A2D34">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D70C44">
            <w:pPr>
              <w:rPr>
                <w:rFonts w:ascii="Arial" w:hAnsi="Arial" w:cs="Arial"/>
              </w:rPr>
            </w:pPr>
            <w:r w:rsidRPr="00D70C44">
              <w:rPr>
                <w:rFonts w:ascii="Arial" w:hAnsi="Arial" w:cs="Arial"/>
                <w:sz w:val="22"/>
                <w:szCs w:val="22"/>
              </w:rPr>
              <w:t xml:space="preserve">Председатель совета директоров     </w:t>
            </w:r>
            <w:r w:rsidR="00D70C44">
              <w:rPr>
                <w:rFonts w:ascii="Arial" w:hAnsi="Arial" w:cs="Arial"/>
                <w:sz w:val="22"/>
                <w:szCs w:val="22"/>
              </w:rPr>
              <w:t xml:space="preserve"> </w:t>
            </w:r>
            <w:r w:rsidRPr="00D70C44">
              <w:rPr>
                <w:rFonts w:ascii="Arial" w:hAnsi="Arial" w:cs="Arial"/>
                <w:sz w:val="22"/>
                <w:szCs w:val="22"/>
              </w:rPr>
              <w:t xml:space="preserve">  </w:t>
            </w:r>
            <w:r w:rsidR="00D70C44" w:rsidRPr="00D70C44">
              <w:rPr>
                <w:rFonts w:ascii="Arial" w:hAnsi="Arial" w:cs="Arial"/>
                <w:sz w:val="22"/>
                <w:szCs w:val="22"/>
              </w:rPr>
              <w:t xml:space="preserve">Иванов </w:t>
            </w:r>
            <w:r w:rsidR="0048034C" w:rsidRPr="00D70C44">
              <w:rPr>
                <w:rFonts w:ascii="Arial" w:hAnsi="Arial" w:cs="Arial"/>
                <w:sz w:val="22"/>
                <w:szCs w:val="22"/>
              </w:rPr>
              <w:t>В</w:t>
            </w:r>
            <w:r w:rsidRPr="00D70C44">
              <w:rPr>
                <w:rFonts w:ascii="Arial" w:hAnsi="Arial" w:cs="Arial"/>
                <w:sz w:val="22"/>
                <w:szCs w:val="22"/>
              </w:rPr>
              <w:t>.</w:t>
            </w:r>
            <w:r w:rsidR="00D70C44" w:rsidRPr="00D70C44">
              <w:rPr>
                <w:rFonts w:ascii="Arial" w:hAnsi="Arial" w:cs="Arial"/>
                <w:sz w:val="22"/>
                <w:szCs w:val="22"/>
              </w:rPr>
              <w:t>К.</w:t>
            </w:r>
          </w:p>
        </w:tc>
        <w:tc>
          <w:tcPr>
            <w:tcW w:w="2089" w:type="dxa"/>
          </w:tcPr>
          <w:p w:rsidR="003F77A9" w:rsidRPr="00D70C44" w:rsidRDefault="003F77A9" w:rsidP="00480689">
            <w:pPr>
              <w:rPr>
                <w:rFonts w:ascii="Arial" w:hAnsi="Arial" w:cs="Arial"/>
              </w:rPr>
            </w:pPr>
            <w:r w:rsidRPr="00D70C44">
              <w:rPr>
                <w:rFonts w:ascii="Arial" w:hAnsi="Arial" w:cs="Arial"/>
                <w:sz w:val="22"/>
                <w:szCs w:val="22"/>
              </w:rPr>
              <w:t>_______________</w:t>
            </w: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7643BF" w:rsidP="007643BF">
            <w:pPr>
              <w:rPr>
                <w:rFonts w:ascii="Arial" w:hAnsi="Arial" w:cs="Arial"/>
              </w:rPr>
            </w:pPr>
            <w:r w:rsidRPr="00D70C44">
              <w:rPr>
                <w:rFonts w:ascii="Arial" w:hAnsi="Arial" w:cs="Arial"/>
                <w:sz w:val="22"/>
                <w:szCs w:val="22"/>
              </w:rPr>
              <w:t>Д</w:t>
            </w:r>
            <w:r w:rsidR="003F77A9" w:rsidRPr="00D70C44">
              <w:rPr>
                <w:rFonts w:ascii="Arial" w:hAnsi="Arial" w:cs="Arial"/>
                <w:sz w:val="22"/>
                <w:szCs w:val="22"/>
              </w:rPr>
              <w:t xml:space="preserve">иректор                         </w:t>
            </w:r>
            <w:r w:rsidRPr="00D70C44">
              <w:rPr>
                <w:rFonts w:ascii="Arial" w:hAnsi="Arial" w:cs="Arial"/>
                <w:sz w:val="22"/>
                <w:szCs w:val="22"/>
              </w:rPr>
              <w:t xml:space="preserve">                        </w:t>
            </w:r>
            <w:r w:rsidR="003F77A9" w:rsidRPr="00D70C44">
              <w:rPr>
                <w:rFonts w:ascii="Arial" w:hAnsi="Arial" w:cs="Arial"/>
                <w:sz w:val="22"/>
                <w:szCs w:val="22"/>
              </w:rPr>
              <w:t>Киреев С.В.</w:t>
            </w:r>
          </w:p>
        </w:tc>
        <w:tc>
          <w:tcPr>
            <w:tcW w:w="2089" w:type="dxa"/>
          </w:tcPr>
          <w:p w:rsidR="003F77A9" w:rsidRPr="00D70C44" w:rsidRDefault="003F77A9" w:rsidP="00480689">
            <w:pPr>
              <w:rPr>
                <w:rFonts w:ascii="Arial" w:hAnsi="Arial" w:cs="Arial"/>
              </w:rPr>
            </w:pPr>
            <w:r w:rsidRPr="00D70C44">
              <w:rPr>
                <w:rFonts w:ascii="Arial" w:hAnsi="Arial" w:cs="Arial"/>
                <w:sz w:val="22"/>
                <w:szCs w:val="22"/>
              </w:rPr>
              <w:t>_______________</w:t>
            </w: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D70C44" w:rsidTr="007F7616">
        <w:tc>
          <w:tcPr>
            <w:tcW w:w="1684" w:type="dxa"/>
          </w:tcPr>
          <w:p w:rsidR="003F77A9" w:rsidRPr="00D70C44" w:rsidRDefault="003F77A9" w:rsidP="00480689">
            <w:pPr>
              <w:rPr>
                <w:rFonts w:ascii="Arial" w:hAnsi="Arial" w:cs="Arial"/>
              </w:rPr>
            </w:pPr>
          </w:p>
        </w:tc>
        <w:tc>
          <w:tcPr>
            <w:tcW w:w="5937" w:type="dxa"/>
          </w:tcPr>
          <w:p w:rsidR="003F77A9" w:rsidRPr="00D70C44" w:rsidRDefault="003F77A9" w:rsidP="00480689">
            <w:pPr>
              <w:rPr>
                <w:rFonts w:ascii="Arial" w:hAnsi="Arial" w:cs="Arial"/>
              </w:rPr>
            </w:pPr>
          </w:p>
        </w:tc>
        <w:tc>
          <w:tcPr>
            <w:tcW w:w="2089" w:type="dxa"/>
          </w:tcPr>
          <w:p w:rsidR="003F77A9" w:rsidRPr="00D70C44" w:rsidRDefault="003F77A9" w:rsidP="00480689">
            <w:pPr>
              <w:rPr>
                <w:rFonts w:ascii="Arial" w:hAnsi="Arial" w:cs="Arial"/>
              </w:rPr>
            </w:pPr>
          </w:p>
        </w:tc>
      </w:tr>
      <w:tr w:rsidR="003F77A9" w:rsidRPr="00274B03" w:rsidTr="007F7616">
        <w:tc>
          <w:tcPr>
            <w:tcW w:w="1684" w:type="dxa"/>
          </w:tcPr>
          <w:p w:rsidR="003F77A9" w:rsidRPr="00D70C44" w:rsidRDefault="003F77A9" w:rsidP="00480689">
            <w:pPr>
              <w:rPr>
                <w:rFonts w:ascii="Arial" w:hAnsi="Arial" w:cs="Arial"/>
              </w:rPr>
            </w:pPr>
          </w:p>
        </w:tc>
        <w:tc>
          <w:tcPr>
            <w:tcW w:w="5937" w:type="dxa"/>
          </w:tcPr>
          <w:p w:rsidR="002279B6" w:rsidRPr="00D70C44" w:rsidRDefault="003F77A9" w:rsidP="00480689">
            <w:pPr>
              <w:rPr>
                <w:rFonts w:ascii="Arial" w:hAnsi="Arial" w:cs="Arial"/>
              </w:rPr>
            </w:pPr>
            <w:r w:rsidRPr="00D70C44">
              <w:rPr>
                <w:rFonts w:ascii="Arial" w:hAnsi="Arial" w:cs="Arial"/>
                <w:sz w:val="22"/>
                <w:szCs w:val="22"/>
              </w:rPr>
              <w:t>Главный бухгалтер</w:t>
            </w:r>
            <w:r w:rsidR="00FB0EC9" w:rsidRPr="00D70C44">
              <w:rPr>
                <w:rFonts w:ascii="Arial" w:hAnsi="Arial" w:cs="Arial"/>
                <w:sz w:val="22"/>
                <w:szCs w:val="22"/>
              </w:rPr>
              <w:t xml:space="preserve"> </w:t>
            </w:r>
            <w:r w:rsidR="002279B6" w:rsidRPr="00D70C44">
              <w:rPr>
                <w:rFonts w:ascii="Arial" w:hAnsi="Arial" w:cs="Arial"/>
                <w:sz w:val="22"/>
                <w:szCs w:val="22"/>
              </w:rPr>
              <w:t>–</w:t>
            </w:r>
            <w:r w:rsidR="00FB0EC9" w:rsidRPr="00D70C44">
              <w:rPr>
                <w:rFonts w:ascii="Arial" w:hAnsi="Arial" w:cs="Arial"/>
                <w:sz w:val="22"/>
                <w:szCs w:val="22"/>
              </w:rPr>
              <w:t xml:space="preserve"> </w:t>
            </w:r>
          </w:p>
          <w:p w:rsidR="003F77A9" w:rsidRPr="00D70C44" w:rsidRDefault="003F77A9" w:rsidP="002279B6">
            <w:pPr>
              <w:rPr>
                <w:rFonts w:ascii="Arial" w:hAnsi="Arial" w:cs="Arial"/>
              </w:rPr>
            </w:pPr>
            <w:r w:rsidRPr="00D70C44">
              <w:rPr>
                <w:rFonts w:ascii="Arial" w:hAnsi="Arial" w:cs="Arial"/>
                <w:sz w:val="22"/>
                <w:szCs w:val="22"/>
              </w:rPr>
              <w:t xml:space="preserve">финансовый директор                       </w:t>
            </w:r>
            <w:r w:rsidR="0048034C" w:rsidRPr="00D70C44">
              <w:rPr>
                <w:rFonts w:ascii="Arial" w:hAnsi="Arial" w:cs="Arial"/>
                <w:sz w:val="22"/>
                <w:szCs w:val="22"/>
              </w:rPr>
              <w:t xml:space="preserve">  </w:t>
            </w:r>
            <w:r w:rsidRPr="00D70C44">
              <w:rPr>
                <w:rFonts w:ascii="Arial" w:hAnsi="Arial" w:cs="Arial"/>
                <w:sz w:val="22"/>
                <w:szCs w:val="22"/>
              </w:rPr>
              <w:t xml:space="preserve">  Ясакова Э.В.</w:t>
            </w:r>
          </w:p>
        </w:tc>
        <w:tc>
          <w:tcPr>
            <w:tcW w:w="2089" w:type="dxa"/>
          </w:tcPr>
          <w:p w:rsidR="003F77A9" w:rsidRPr="00D70C44" w:rsidRDefault="003F77A9" w:rsidP="00480689">
            <w:pPr>
              <w:rPr>
                <w:rFonts w:ascii="Arial" w:hAnsi="Arial" w:cs="Arial"/>
              </w:rPr>
            </w:pPr>
          </w:p>
          <w:p w:rsidR="003F77A9" w:rsidRPr="00274B03" w:rsidRDefault="003F77A9" w:rsidP="00480689">
            <w:pPr>
              <w:rPr>
                <w:rFonts w:ascii="Arial" w:hAnsi="Arial" w:cs="Arial"/>
              </w:rPr>
            </w:pPr>
            <w:r w:rsidRPr="00D70C44">
              <w:rPr>
                <w:rFonts w:ascii="Arial" w:hAnsi="Arial" w:cs="Arial"/>
                <w:sz w:val="22"/>
                <w:szCs w:val="22"/>
              </w:rPr>
              <w:t>_______________</w:t>
            </w:r>
          </w:p>
        </w:tc>
      </w:tr>
    </w:tbl>
    <w:p w:rsidR="00D70C44" w:rsidRDefault="00D70C44" w:rsidP="003F77A9">
      <w:pPr>
        <w:pStyle w:val="a3"/>
        <w:rPr>
          <w:rFonts w:ascii="Arial" w:hAnsi="Arial" w:cs="Arial"/>
          <w:szCs w:val="22"/>
        </w:rPr>
      </w:pPr>
    </w:p>
    <w:p w:rsidR="00D70C44" w:rsidRDefault="00D70C44" w:rsidP="003F77A9">
      <w:pPr>
        <w:pStyle w:val="a3"/>
        <w:rPr>
          <w:rFonts w:ascii="Arial" w:hAnsi="Arial" w:cs="Arial"/>
          <w:szCs w:val="22"/>
        </w:rPr>
      </w:pPr>
    </w:p>
    <w:p w:rsidR="00D70C44" w:rsidRDefault="00D70C44" w:rsidP="003F77A9">
      <w:pPr>
        <w:pStyle w:val="a3"/>
        <w:rPr>
          <w:rFonts w:ascii="Arial" w:hAnsi="Arial" w:cs="Arial"/>
          <w:szCs w:val="22"/>
        </w:rPr>
      </w:pPr>
    </w:p>
    <w:p w:rsidR="00D70C44" w:rsidRDefault="00D70C44" w:rsidP="003F77A9">
      <w:pPr>
        <w:pStyle w:val="a3"/>
        <w:rPr>
          <w:rFonts w:ascii="Arial" w:hAnsi="Arial" w:cs="Arial"/>
          <w:szCs w:val="22"/>
        </w:rPr>
      </w:pPr>
    </w:p>
    <w:p w:rsidR="003F77A9" w:rsidRPr="00E90147" w:rsidRDefault="003F77A9" w:rsidP="003F77A9">
      <w:pPr>
        <w:pStyle w:val="a3"/>
        <w:rPr>
          <w:rFonts w:ascii="Arial" w:hAnsi="Arial" w:cs="Arial"/>
          <w:szCs w:val="22"/>
        </w:rPr>
      </w:pPr>
      <w:r w:rsidRPr="00274B03">
        <w:rPr>
          <w:rFonts w:ascii="Arial" w:hAnsi="Arial" w:cs="Arial"/>
          <w:szCs w:val="22"/>
        </w:rPr>
        <w:t>Тула 20</w:t>
      </w:r>
      <w:r w:rsidR="00225B3D">
        <w:rPr>
          <w:rFonts w:ascii="Arial" w:hAnsi="Arial" w:cs="Arial"/>
          <w:szCs w:val="22"/>
          <w:lang w:val="en-US"/>
        </w:rPr>
        <w:t>2</w:t>
      </w:r>
      <w:r w:rsidR="00E90147">
        <w:rPr>
          <w:rFonts w:ascii="Arial" w:hAnsi="Arial" w:cs="Arial"/>
          <w:szCs w:val="22"/>
        </w:rPr>
        <w:t>2</w:t>
      </w:r>
    </w:p>
    <w:p w:rsidR="00766CCE" w:rsidRPr="00D442CD" w:rsidRDefault="003F77A9" w:rsidP="00D96762">
      <w:pPr>
        <w:spacing w:after="200"/>
        <w:jc w:val="both"/>
        <w:rPr>
          <w:rFonts w:ascii="Arial" w:hAnsi="Arial" w:cs="Arial"/>
          <w:highlight w:val="yellow"/>
        </w:rPr>
      </w:pPr>
      <w:r w:rsidRPr="00D442CD">
        <w:rPr>
          <w:rFonts w:ascii="Arial" w:hAnsi="Arial" w:cs="Arial"/>
          <w:highlight w:val="yellow"/>
        </w:rPr>
        <w:br w:type="page"/>
      </w:r>
    </w:p>
    <w:p w:rsidR="00D96762" w:rsidRPr="009274A2" w:rsidRDefault="004A5D23" w:rsidP="00D96762">
      <w:pPr>
        <w:spacing w:after="200"/>
        <w:jc w:val="center"/>
        <w:rPr>
          <w:rFonts w:ascii="Arial" w:hAnsi="Arial" w:cs="Arial"/>
          <w:b/>
          <w:sz w:val="22"/>
        </w:rPr>
      </w:pPr>
      <w:r w:rsidRPr="009274A2">
        <w:rPr>
          <w:rFonts w:ascii="Arial" w:hAnsi="Arial" w:cs="Arial"/>
          <w:b/>
          <w:sz w:val="22"/>
        </w:rPr>
        <w:lastRenderedPageBreak/>
        <w:t>Оглавление</w:t>
      </w:r>
    </w:p>
    <w:p w:rsidR="009C77C3" w:rsidRDefault="00F92859">
      <w:pPr>
        <w:pStyle w:val="11"/>
        <w:tabs>
          <w:tab w:val="right" w:leader="underscore" w:pos="9629"/>
        </w:tabs>
        <w:rPr>
          <w:rFonts w:eastAsiaTheme="minorEastAsia" w:cstheme="minorBidi"/>
          <w:b w:val="0"/>
          <w:bCs w:val="0"/>
          <w:i w:val="0"/>
          <w:iCs w:val="0"/>
          <w:noProof/>
          <w:sz w:val="22"/>
          <w:szCs w:val="22"/>
        </w:rPr>
      </w:pPr>
      <w:r w:rsidRPr="00F92859">
        <w:rPr>
          <w:rFonts w:ascii="Arial" w:hAnsi="Arial" w:cs="Arial"/>
          <w:b w:val="0"/>
          <w:bCs w:val="0"/>
          <w:i w:val="0"/>
          <w:iCs w:val="0"/>
          <w:sz w:val="8"/>
        </w:rPr>
        <w:fldChar w:fldCharType="begin"/>
      </w:r>
      <w:r w:rsidR="00160CC4" w:rsidRPr="009274A2">
        <w:rPr>
          <w:rFonts w:ascii="Arial" w:hAnsi="Arial" w:cs="Arial"/>
          <w:b w:val="0"/>
          <w:bCs w:val="0"/>
          <w:i w:val="0"/>
          <w:iCs w:val="0"/>
          <w:sz w:val="8"/>
        </w:rPr>
        <w:instrText xml:space="preserve"> TOC \o "1-3" \h \z \u </w:instrText>
      </w:r>
      <w:r w:rsidRPr="00F92859">
        <w:rPr>
          <w:rFonts w:ascii="Arial" w:hAnsi="Arial" w:cs="Arial"/>
          <w:b w:val="0"/>
          <w:bCs w:val="0"/>
          <w:i w:val="0"/>
          <w:iCs w:val="0"/>
          <w:sz w:val="8"/>
        </w:rPr>
        <w:fldChar w:fldCharType="separate"/>
      </w:r>
      <w:hyperlink w:anchor="_Toc100678733" w:history="1">
        <w:r w:rsidR="009C77C3" w:rsidRPr="00A902FF">
          <w:rPr>
            <w:rStyle w:val="a7"/>
            <w:rFonts w:ascii="Arial" w:hAnsi="Arial" w:cs="Arial"/>
            <w:noProof/>
          </w:rPr>
          <w:t>Сведения об Обществе</w:t>
        </w:r>
        <w:r w:rsidR="009C77C3">
          <w:rPr>
            <w:noProof/>
            <w:webHidden/>
          </w:rPr>
          <w:tab/>
        </w:r>
        <w:r>
          <w:rPr>
            <w:noProof/>
            <w:webHidden/>
          </w:rPr>
          <w:fldChar w:fldCharType="begin"/>
        </w:r>
        <w:r w:rsidR="009C77C3">
          <w:rPr>
            <w:noProof/>
            <w:webHidden/>
          </w:rPr>
          <w:instrText xml:space="preserve"> PAGEREF _Toc100678733 \h </w:instrText>
        </w:r>
        <w:r>
          <w:rPr>
            <w:noProof/>
            <w:webHidden/>
          </w:rPr>
        </w:r>
        <w:r>
          <w:rPr>
            <w:noProof/>
            <w:webHidden/>
          </w:rPr>
          <w:fldChar w:fldCharType="separate"/>
        </w:r>
        <w:r w:rsidR="00D70C44">
          <w:rPr>
            <w:noProof/>
            <w:webHidden/>
          </w:rPr>
          <w:t>5</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34" w:history="1">
        <w:r w:rsidR="009C77C3" w:rsidRPr="00A902FF">
          <w:rPr>
            <w:rStyle w:val="a7"/>
            <w:rFonts w:ascii="Arial" w:hAnsi="Arial" w:cs="Arial"/>
            <w:noProof/>
          </w:rPr>
          <w:t>Положение Общества в отрасли</w:t>
        </w:r>
        <w:r w:rsidR="009C77C3">
          <w:rPr>
            <w:noProof/>
            <w:webHidden/>
          </w:rPr>
          <w:tab/>
        </w:r>
        <w:r>
          <w:rPr>
            <w:noProof/>
            <w:webHidden/>
          </w:rPr>
          <w:fldChar w:fldCharType="begin"/>
        </w:r>
        <w:r w:rsidR="009C77C3">
          <w:rPr>
            <w:noProof/>
            <w:webHidden/>
          </w:rPr>
          <w:instrText xml:space="preserve"> PAGEREF _Toc100678734 \h </w:instrText>
        </w:r>
        <w:r>
          <w:rPr>
            <w:noProof/>
            <w:webHidden/>
          </w:rPr>
        </w:r>
        <w:r>
          <w:rPr>
            <w:noProof/>
            <w:webHidden/>
          </w:rPr>
          <w:fldChar w:fldCharType="separate"/>
        </w:r>
        <w:r w:rsidR="00D70C44">
          <w:rPr>
            <w:noProof/>
            <w:webHidden/>
          </w:rPr>
          <w:t>6</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35" w:history="1">
        <w:r w:rsidR="009C77C3" w:rsidRPr="00A902FF">
          <w:rPr>
            <w:rStyle w:val="a7"/>
            <w:rFonts w:ascii="Arial" w:hAnsi="Arial" w:cs="Arial"/>
            <w:i/>
            <w:noProof/>
          </w:rPr>
          <w:t>Краткое описание предприятия</w:t>
        </w:r>
        <w:r w:rsidR="009C77C3">
          <w:rPr>
            <w:noProof/>
            <w:webHidden/>
          </w:rPr>
          <w:tab/>
        </w:r>
        <w:r>
          <w:rPr>
            <w:noProof/>
            <w:webHidden/>
          </w:rPr>
          <w:fldChar w:fldCharType="begin"/>
        </w:r>
        <w:r w:rsidR="009C77C3">
          <w:rPr>
            <w:noProof/>
            <w:webHidden/>
          </w:rPr>
          <w:instrText xml:space="preserve"> PAGEREF _Toc100678735 \h </w:instrText>
        </w:r>
        <w:r>
          <w:rPr>
            <w:noProof/>
            <w:webHidden/>
          </w:rPr>
        </w:r>
        <w:r>
          <w:rPr>
            <w:noProof/>
            <w:webHidden/>
          </w:rPr>
          <w:fldChar w:fldCharType="separate"/>
        </w:r>
        <w:r w:rsidR="00D70C44">
          <w:rPr>
            <w:noProof/>
            <w:webHidden/>
          </w:rPr>
          <w:t>6</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36" w:history="1">
        <w:r w:rsidR="009C77C3" w:rsidRPr="00A902FF">
          <w:rPr>
            <w:rStyle w:val="a7"/>
            <w:rFonts w:ascii="Arial" w:hAnsi="Arial" w:cs="Arial"/>
            <w:i/>
            <w:noProof/>
          </w:rPr>
          <w:t>Позиции ПАО «КМЗ» на рынке чугуна и ферромарганца</w:t>
        </w:r>
        <w:r w:rsidR="009C77C3">
          <w:rPr>
            <w:noProof/>
            <w:webHidden/>
          </w:rPr>
          <w:tab/>
        </w:r>
        <w:r>
          <w:rPr>
            <w:noProof/>
            <w:webHidden/>
          </w:rPr>
          <w:fldChar w:fldCharType="begin"/>
        </w:r>
        <w:r w:rsidR="009C77C3">
          <w:rPr>
            <w:noProof/>
            <w:webHidden/>
          </w:rPr>
          <w:instrText xml:space="preserve"> PAGEREF _Toc100678736 \h </w:instrText>
        </w:r>
        <w:r>
          <w:rPr>
            <w:noProof/>
            <w:webHidden/>
          </w:rPr>
        </w:r>
        <w:r>
          <w:rPr>
            <w:noProof/>
            <w:webHidden/>
          </w:rPr>
          <w:fldChar w:fldCharType="separate"/>
        </w:r>
        <w:r w:rsidR="00D70C44">
          <w:rPr>
            <w:noProof/>
            <w:webHidden/>
          </w:rPr>
          <w:t>7</w:t>
        </w:r>
        <w:r>
          <w:rPr>
            <w:noProof/>
            <w:webHidden/>
          </w:rPr>
          <w:fldChar w:fldCharType="end"/>
        </w:r>
      </w:hyperlink>
    </w:p>
    <w:p w:rsidR="009C77C3" w:rsidRDefault="00F92859">
      <w:pPr>
        <w:pStyle w:val="31"/>
        <w:tabs>
          <w:tab w:val="right" w:leader="underscore" w:pos="9629"/>
        </w:tabs>
        <w:rPr>
          <w:rFonts w:eastAsiaTheme="minorEastAsia" w:cstheme="minorBidi"/>
          <w:noProof/>
          <w:sz w:val="22"/>
          <w:szCs w:val="22"/>
        </w:rPr>
      </w:pPr>
      <w:hyperlink w:anchor="_Toc100678737" w:history="1">
        <w:r w:rsidR="009C77C3" w:rsidRPr="00A902FF">
          <w:rPr>
            <w:rStyle w:val="a7"/>
            <w:rFonts w:ascii="Arial" w:hAnsi="Arial" w:cs="Arial"/>
            <w:i/>
            <w:noProof/>
          </w:rPr>
          <w:t>Позиции ПАО «КМЗ» на рынке чугуна</w:t>
        </w:r>
        <w:r w:rsidR="009C77C3">
          <w:rPr>
            <w:noProof/>
            <w:webHidden/>
          </w:rPr>
          <w:tab/>
        </w:r>
        <w:r>
          <w:rPr>
            <w:noProof/>
            <w:webHidden/>
          </w:rPr>
          <w:fldChar w:fldCharType="begin"/>
        </w:r>
        <w:r w:rsidR="009C77C3">
          <w:rPr>
            <w:noProof/>
            <w:webHidden/>
          </w:rPr>
          <w:instrText xml:space="preserve"> PAGEREF _Toc100678737 \h </w:instrText>
        </w:r>
        <w:r>
          <w:rPr>
            <w:noProof/>
            <w:webHidden/>
          </w:rPr>
        </w:r>
        <w:r>
          <w:rPr>
            <w:noProof/>
            <w:webHidden/>
          </w:rPr>
          <w:fldChar w:fldCharType="separate"/>
        </w:r>
        <w:r w:rsidR="00D70C44">
          <w:rPr>
            <w:noProof/>
            <w:webHidden/>
          </w:rPr>
          <w:t>7</w:t>
        </w:r>
        <w:r>
          <w:rPr>
            <w:noProof/>
            <w:webHidden/>
          </w:rPr>
          <w:fldChar w:fldCharType="end"/>
        </w:r>
      </w:hyperlink>
    </w:p>
    <w:p w:rsidR="009C77C3" w:rsidRDefault="00F92859">
      <w:pPr>
        <w:pStyle w:val="31"/>
        <w:tabs>
          <w:tab w:val="right" w:leader="underscore" w:pos="9629"/>
        </w:tabs>
        <w:rPr>
          <w:rFonts w:eastAsiaTheme="minorEastAsia" w:cstheme="minorBidi"/>
          <w:noProof/>
          <w:sz w:val="22"/>
          <w:szCs w:val="22"/>
        </w:rPr>
      </w:pPr>
      <w:hyperlink w:anchor="_Toc100678738" w:history="1">
        <w:r w:rsidR="009C77C3" w:rsidRPr="00A902FF">
          <w:rPr>
            <w:rStyle w:val="a7"/>
            <w:rFonts w:ascii="Arial" w:hAnsi="Arial" w:cs="Arial"/>
            <w:i/>
            <w:noProof/>
          </w:rPr>
          <w:t>Позиции ПАО «КМЗ» на рынке ферромарганца</w:t>
        </w:r>
        <w:r w:rsidR="009C77C3">
          <w:rPr>
            <w:noProof/>
            <w:webHidden/>
          </w:rPr>
          <w:tab/>
        </w:r>
        <w:r>
          <w:rPr>
            <w:noProof/>
            <w:webHidden/>
          </w:rPr>
          <w:fldChar w:fldCharType="begin"/>
        </w:r>
        <w:r w:rsidR="009C77C3">
          <w:rPr>
            <w:noProof/>
            <w:webHidden/>
          </w:rPr>
          <w:instrText xml:space="preserve"> PAGEREF _Toc100678738 \h </w:instrText>
        </w:r>
        <w:r>
          <w:rPr>
            <w:noProof/>
            <w:webHidden/>
          </w:rPr>
        </w:r>
        <w:r>
          <w:rPr>
            <w:noProof/>
            <w:webHidden/>
          </w:rPr>
          <w:fldChar w:fldCharType="separate"/>
        </w:r>
        <w:r w:rsidR="00D70C44">
          <w:rPr>
            <w:noProof/>
            <w:webHidden/>
          </w:rPr>
          <w:t>9</w:t>
        </w:r>
        <w:r>
          <w:rPr>
            <w:noProof/>
            <w:webHidden/>
          </w:rPr>
          <w:fldChar w:fldCharType="end"/>
        </w:r>
      </w:hyperlink>
    </w:p>
    <w:p w:rsidR="009C77C3" w:rsidRDefault="00F92859">
      <w:pPr>
        <w:pStyle w:val="31"/>
        <w:tabs>
          <w:tab w:val="right" w:leader="underscore" w:pos="9629"/>
        </w:tabs>
        <w:rPr>
          <w:rFonts w:eastAsiaTheme="minorEastAsia" w:cstheme="minorBidi"/>
          <w:noProof/>
          <w:sz w:val="22"/>
          <w:szCs w:val="22"/>
        </w:rPr>
      </w:pPr>
      <w:hyperlink w:anchor="_Toc100678739" w:history="1">
        <w:r w:rsidR="009C77C3" w:rsidRPr="00A902FF">
          <w:rPr>
            <w:rStyle w:val="a7"/>
            <w:rFonts w:ascii="Arial" w:hAnsi="Arial" w:cs="Arial"/>
            <w:i/>
            <w:noProof/>
          </w:rPr>
          <w:t>Объёмы реализации неосновной продукции</w:t>
        </w:r>
        <w:r w:rsidR="009C77C3">
          <w:rPr>
            <w:noProof/>
            <w:webHidden/>
          </w:rPr>
          <w:tab/>
        </w:r>
        <w:r>
          <w:rPr>
            <w:noProof/>
            <w:webHidden/>
          </w:rPr>
          <w:fldChar w:fldCharType="begin"/>
        </w:r>
        <w:r w:rsidR="009C77C3">
          <w:rPr>
            <w:noProof/>
            <w:webHidden/>
          </w:rPr>
          <w:instrText xml:space="preserve"> PAGEREF _Toc100678739 \h </w:instrText>
        </w:r>
        <w:r>
          <w:rPr>
            <w:noProof/>
            <w:webHidden/>
          </w:rPr>
        </w:r>
        <w:r>
          <w:rPr>
            <w:noProof/>
            <w:webHidden/>
          </w:rPr>
          <w:fldChar w:fldCharType="separate"/>
        </w:r>
        <w:r w:rsidR="00D70C44">
          <w:rPr>
            <w:noProof/>
            <w:webHidden/>
          </w:rPr>
          <w:t>11</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40" w:history="1">
        <w:r w:rsidR="009C77C3" w:rsidRPr="00A902FF">
          <w:rPr>
            <w:rStyle w:val="a7"/>
            <w:rFonts w:ascii="Arial" w:hAnsi="Arial" w:cs="Arial"/>
            <w:noProof/>
          </w:rPr>
          <w:t>Приоритетные направления деятельности Общества</w:t>
        </w:r>
        <w:r w:rsidR="009C77C3">
          <w:rPr>
            <w:noProof/>
            <w:webHidden/>
          </w:rPr>
          <w:tab/>
        </w:r>
        <w:r>
          <w:rPr>
            <w:noProof/>
            <w:webHidden/>
          </w:rPr>
          <w:fldChar w:fldCharType="begin"/>
        </w:r>
        <w:r w:rsidR="009C77C3">
          <w:rPr>
            <w:noProof/>
            <w:webHidden/>
          </w:rPr>
          <w:instrText xml:space="preserve"> PAGEREF _Toc100678740 \h </w:instrText>
        </w:r>
        <w:r>
          <w:rPr>
            <w:noProof/>
            <w:webHidden/>
          </w:rPr>
        </w:r>
        <w:r>
          <w:rPr>
            <w:noProof/>
            <w:webHidden/>
          </w:rPr>
          <w:fldChar w:fldCharType="separate"/>
        </w:r>
        <w:r w:rsidR="00D70C44">
          <w:rPr>
            <w:noProof/>
            <w:webHidden/>
          </w:rPr>
          <w:t>12</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41" w:history="1">
        <w:r w:rsidR="009C77C3" w:rsidRPr="00A902FF">
          <w:rPr>
            <w:rStyle w:val="a7"/>
            <w:rFonts w:ascii="Arial" w:hAnsi="Arial" w:cs="Arial"/>
            <w:noProof/>
          </w:rPr>
          <w:t>Отчет совета директоров о результатах развития по приоритетным направлениям деятельности Общества</w:t>
        </w:r>
        <w:r w:rsidR="009C77C3">
          <w:rPr>
            <w:noProof/>
            <w:webHidden/>
          </w:rPr>
          <w:tab/>
        </w:r>
        <w:r>
          <w:rPr>
            <w:noProof/>
            <w:webHidden/>
          </w:rPr>
          <w:fldChar w:fldCharType="begin"/>
        </w:r>
        <w:r w:rsidR="009C77C3">
          <w:rPr>
            <w:noProof/>
            <w:webHidden/>
          </w:rPr>
          <w:instrText xml:space="preserve"> PAGEREF _Toc100678741 \h </w:instrText>
        </w:r>
        <w:r>
          <w:rPr>
            <w:noProof/>
            <w:webHidden/>
          </w:rPr>
        </w:r>
        <w:r>
          <w:rPr>
            <w:noProof/>
            <w:webHidden/>
          </w:rPr>
          <w:fldChar w:fldCharType="separate"/>
        </w:r>
        <w:r w:rsidR="00D70C44">
          <w:rPr>
            <w:noProof/>
            <w:webHidden/>
          </w:rPr>
          <w:t>12</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42" w:history="1">
        <w:r w:rsidR="009C77C3" w:rsidRPr="00A902FF">
          <w:rPr>
            <w:rStyle w:val="a7"/>
            <w:rFonts w:ascii="Arial" w:hAnsi="Arial" w:cs="Arial"/>
            <w:i/>
            <w:noProof/>
          </w:rPr>
          <w:t>Производство</w:t>
        </w:r>
        <w:r w:rsidR="009C77C3">
          <w:rPr>
            <w:noProof/>
            <w:webHidden/>
          </w:rPr>
          <w:tab/>
        </w:r>
        <w:r>
          <w:rPr>
            <w:noProof/>
            <w:webHidden/>
          </w:rPr>
          <w:fldChar w:fldCharType="begin"/>
        </w:r>
        <w:r w:rsidR="009C77C3">
          <w:rPr>
            <w:noProof/>
            <w:webHidden/>
          </w:rPr>
          <w:instrText xml:space="preserve"> PAGEREF _Toc100678742 \h </w:instrText>
        </w:r>
        <w:r>
          <w:rPr>
            <w:noProof/>
            <w:webHidden/>
          </w:rPr>
        </w:r>
        <w:r>
          <w:rPr>
            <w:noProof/>
            <w:webHidden/>
          </w:rPr>
          <w:fldChar w:fldCharType="separate"/>
        </w:r>
        <w:r w:rsidR="00D70C44">
          <w:rPr>
            <w:noProof/>
            <w:webHidden/>
          </w:rPr>
          <w:t>12</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43" w:history="1">
        <w:r w:rsidR="009C77C3" w:rsidRPr="00A902FF">
          <w:rPr>
            <w:rStyle w:val="a7"/>
            <w:rFonts w:ascii="Arial" w:hAnsi="Arial" w:cs="Arial"/>
            <w:i/>
            <w:noProof/>
          </w:rPr>
          <w:t>Продажи</w:t>
        </w:r>
        <w:r w:rsidR="009C77C3">
          <w:rPr>
            <w:noProof/>
            <w:webHidden/>
          </w:rPr>
          <w:tab/>
        </w:r>
        <w:r>
          <w:rPr>
            <w:noProof/>
            <w:webHidden/>
          </w:rPr>
          <w:fldChar w:fldCharType="begin"/>
        </w:r>
        <w:r w:rsidR="009C77C3">
          <w:rPr>
            <w:noProof/>
            <w:webHidden/>
          </w:rPr>
          <w:instrText xml:space="preserve"> PAGEREF _Toc100678743 \h </w:instrText>
        </w:r>
        <w:r>
          <w:rPr>
            <w:noProof/>
            <w:webHidden/>
          </w:rPr>
        </w:r>
        <w:r>
          <w:rPr>
            <w:noProof/>
            <w:webHidden/>
          </w:rPr>
          <w:fldChar w:fldCharType="separate"/>
        </w:r>
        <w:r w:rsidR="00D70C44">
          <w:rPr>
            <w:noProof/>
            <w:webHidden/>
          </w:rPr>
          <w:t>13</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44" w:history="1">
        <w:r w:rsidR="009C77C3" w:rsidRPr="00A902FF">
          <w:rPr>
            <w:rStyle w:val="a7"/>
            <w:rFonts w:ascii="Arial" w:hAnsi="Arial" w:cs="Arial"/>
            <w:i/>
            <w:noProof/>
          </w:rPr>
          <w:t>Себестоимость продукции</w:t>
        </w:r>
        <w:r w:rsidR="009C77C3">
          <w:rPr>
            <w:noProof/>
            <w:webHidden/>
          </w:rPr>
          <w:tab/>
        </w:r>
        <w:r>
          <w:rPr>
            <w:noProof/>
            <w:webHidden/>
          </w:rPr>
          <w:fldChar w:fldCharType="begin"/>
        </w:r>
        <w:r w:rsidR="009C77C3">
          <w:rPr>
            <w:noProof/>
            <w:webHidden/>
          </w:rPr>
          <w:instrText xml:space="preserve"> PAGEREF _Toc100678744 \h </w:instrText>
        </w:r>
        <w:r>
          <w:rPr>
            <w:noProof/>
            <w:webHidden/>
          </w:rPr>
        </w:r>
        <w:r>
          <w:rPr>
            <w:noProof/>
            <w:webHidden/>
          </w:rPr>
          <w:fldChar w:fldCharType="separate"/>
        </w:r>
        <w:r w:rsidR="00D70C44">
          <w:rPr>
            <w:noProof/>
            <w:webHidden/>
          </w:rPr>
          <w:t>15</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45" w:history="1">
        <w:r w:rsidR="009C77C3" w:rsidRPr="00A902FF">
          <w:rPr>
            <w:rStyle w:val="a7"/>
            <w:rFonts w:ascii="Arial" w:hAnsi="Arial" w:cs="Arial"/>
            <w:i/>
            <w:noProof/>
          </w:rPr>
          <w:t>Кадровая, социальная политика, отношения с государственными органами</w:t>
        </w:r>
        <w:r w:rsidR="009C77C3">
          <w:rPr>
            <w:noProof/>
            <w:webHidden/>
          </w:rPr>
          <w:tab/>
        </w:r>
        <w:r>
          <w:rPr>
            <w:noProof/>
            <w:webHidden/>
          </w:rPr>
          <w:fldChar w:fldCharType="begin"/>
        </w:r>
        <w:r w:rsidR="009C77C3">
          <w:rPr>
            <w:noProof/>
            <w:webHidden/>
          </w:rPr>
          <w:instrText xml:space="preserve"> PAGEREF _Toc100678745 \h </w:instrText>
        </w:r>
        <w:r>
          <w:rPr>
            <w:noProof/>
            <w:webHidden/>
          </w:rPr>
        </w:r>
        <w:r>
          <w:rPr>
            <w:noProof/>
            <w:webHidden/>
          </w:rPr>
          <w:fldChar w:fldCharType="separate"/>
        </w:r>
        <w:r w:rsidR="00D70C44">
          <w:rPr>
            <w:noProof/>
            <w:webHidden/>
          </w:rPr>
          <w:t>16</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46" w:history="1">
        <w:r w:rsidR="009C77C3" w:rsidRPr="00A902FF">
          <w:rPr>
            <w:rStyle w:val="a7"/>
            <w:rFonts w:ascii="Arial" w:hAnsi="Arial" w:cs="Arial"/>
            <w:i/>
            <w:noProof/>
          </w:rPr>
          <w:t>Анализ годовой бухгалтерской отчетности</w:t>
        </w:r>
        <w:r w:rsidR="009C77C3">
          <w:rPr>
            <w:noProof/>
            <w:webHidden/>
          </w:rPr>
          <w:tab/>
        </w:r>
        <w:r>
          <w:rPr>
            <w:noProof/>
            <w:webHidden/>
          </w:rPr>
          <w:fldChar w:fldCharType="begin"/>
        </w:r>
        <w:r w:rsidR="009C77C3">
          <w:rPr>
            <w:noProof/>
            <w:webHidden/>
          </w:rPr>
          <w:instrText xml:space="preserve"> PAGEREF _Toc100678746 \h </w:instrText>
        </w:r>
        <w:r>
          <w:rPr>
            <w:noProof/>
            <w:webHidden/>
          </w:rPr>
        </w:r>
        <w:r>
          <w:rPr>
            <w:noProof/>
            <w:webHidden/>
          </w:rPr>
          <w:fldChar w:fldCharType="separate"/>
        </w:r>
        <w:r w:rsidR="00D70C44">
          <w:rPr>
            <w:noProof/>
            <w:webHidden/>
          </w:rPr>
          <w:t>17</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47" w:history="1">
        <w:r w:rsidR="009C77C3" w:rsidRPr="00A902FF">
          <w:rPr>
            <w:rStyle w:val="a7"/>
            <w:rFonts w:ascii="Arial" w:hAnsi="Arial" w:cs="Arial"/>
            <w:noProof/>
          </w:rPr>
          <w:t>Информация об объеме использованных Обществом в отчетном году видов энергетических ресурсов</w:t>
        </w:r>
        <w:r w:rsidR="009C77C3">
          <w:rPr>
            <w:noProof/>
            <w:webHidden/>
          </w:rPr>
          <w:tab/>
        </w:r>
        <w:r>
          <w:rPr>
            <w:noProof/>
            <w:webHidden/>
          </w:rPr>
          <w:fldChar w:fldCharType="begin"/>
        </w:r>
        <w:r w:rsidR="009C77C3">
          <w:rPr>
            <w:noProof/>
            <w:webHidden/>
          </w:rPr>
          <w:instrText xml:space="preserve"> PAGEREF _Toc100678747 \h </w:instrText>
        </w:r>
        <w:r>
          <w:rPr>
            <w:noProof/>
            <w:webHidden/>
          </w:rPr>
        </w:r>
        <w:r>
          <w:rPr>
            <w:noProof/>
            <w:webHidden/>
          </w:rPr>
          <w:fldChar w:fldCharType="separate"/>
        </w:r>
        <w:r w:rsidR="00D70C44">
          <w:rPr>
            <w:noProof/>
            <w:webHidden/>
          </w:rPr>
          <w:t>22</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48" w:history="1">
        <w:r w:rsidR="009C77C3" w:rsidRPr="00A902FF">
          <w:rPr>
            <w:rStyle w:val="a7"/>
            <w:rFonts w:ascii="Arial" w:hAnsi="Arial" w:cs="Arial"/>
            <w:noProof/>
          </w:rPr>
          <w:t>Основные задачи и перспективы развития Общества</w:t>
        </w:r>
        <w:r w:rsidR="009C77C3">
          <w:rPr>
            <w:noProof/>
            <w:webHidden/>
          </w:rPr>
          <w:tab/>
        </w:r>
        <w:r>
          <w:rPr>
            <w:noProof/>
            <w:webHidden/>
          </w:rPr>
          <w:fldChar w:fldCharType="begin"/>
        </w:r>
        <w:r w:rsidR="009C77C3">
          <w:rPr>
            <w:noProof/>
            <w:webHidden/>
          </w:rPr>
          <w:instrText xml:space="preserve"> PAGEREF _Toc100678748 \h </w:instrText>
        </w:r>
        <w:r>
          <w:rPr>
            <w:noProof/>
            <w:webHidden/>
          </w:rPr>
        </w:r>
        <w:r>
          <w:rPr>
            <w:noProof/>
            <w:webHidden/>
          </w:rPr>
          <w:fldChar w:fldCharType="separate"/>
        </w:r>
        <w:r w:rsidR="00D70C44">
          <w:rPr>
            <w:noProof/>
            <w:webHidden/>
          </w:rPr>
          <w:t>22</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49" w:history="1">
        <w:r w:rsidR="009C77C3" w:rsidRPr="00A902FF">
          <w:rPr>
            <w:rStyle w:val="a7"/>
            <w:rFonts w:ascii="Arial" w:hAnsi="Arial" w:cs="Arial"/>
            <w:noProof/>
          </w:rPr>
          <w:t>Отчет о выплате объявленных (начисленных) дивидендов по акциям Общества</w:t>
        </w:r>
        <w:r w:rsidR="009C77C3">
          <w:rPr>
            <w:noProof/>
            <w:webHidden/>
          </w:rPr>
          <w:tab/>
        </w:r>
        <w:r>
          <w:rPr>
            <w:noProof/>
            <w:webHidden/>
          </w:rPr>
          <w:fldChar w:fldCharType="begin"/>
        </w:r>
        <w:r w:rsidR="009C77C3">
          <w:rPr>
            <w:noProof/>
            <w:webHidden/>
          </w:rPr>
          <w:instrText xml:space="preserve"> PAGEREF _Toc100678749 \h </w:instrText>
        </w:r>
        <w:r>
          <w:rPr>
            <w:noProof/>
            <w:webHidden/>
          </w:rPr>
        </w:r>
        <w:r>
          <w:rPr>
            <w:noProof/>
            <w:webHidden/>
          </w:rPr>
          <w:fldChar w:fldCharType="separate"/>
        </w:r>
        <w:r w:rsidR="00D70C44">
          <w:rPr>
            <w:noProof/>
            <w:webHidden/>
          </w:rPr>
          <w:t>24</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50" w:history="1">
        <w:r w:rsidR="009C77C3" w:rsidRPr="00A902FF">
          <w:rPr>
            <w:rStyle w:val="a7"/>
            <w:rFonts w:ascii="Arial" w:hAnsi="Arial" w:cs="Arial"/>
            <w:noProof/>
          </w:rPr>
          <w:t>Рекомендации совета директоров по распределению прибыли и убытков и выплате дивидендов по результатам 2021 года</w:t>
        </w:r>
        <w:r w:rsidR="009C77C3">
          <w:rPr>
            <w:noProof/>
            <w:webHidden/>
          </w:rPr>
          <w:tab/>
        </w:r>
        <w:r>
          <w:rPr>
            <w:noProof/>
            <w:webHidden/>
          </w:rPr>
          <w:fldChar w:fldCharType="begin"/>
        </w:r>
        <w:r w:rsidR="009C77C3">
          <w:rPr>
            <w:noProof/>
            <w:webHidden/>
          </w:rPr>
          <w:instrText xml:space="preserve"> PAGEREF _Toc100678750 \h </w:instrText>
        </w:r>
        <w:r>
          <w:rPr>
            <w:noProof/>
            <w:webHidden/>
          </w:rPr>
        </w:r>
        <w:r>
          <w:rPr>
            <w:noProof/>
            <w:webHidden/>
          </w:rPr>
          <w:fldChar w:fldCharType="separate"/>
        </w:r>
        <w:r w:rsidR="00D70C44">
          <w:rPr>
            <w:noProof/>
            <w:webHidden/>
          </w:rPr>
          <w:t>24</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51" w:history="1">
        <w:r w:rsidR="009C77C3" w:rsidRPr="00A902FF">
          <w:rPr>
            <w:rStyle w:val="a7"/>
            <w:rFonts w:ascii="Arial" w:hAnsi="Arial" w:cs="Arial"/>
            <w:noProof/>
          </w:rPr>
          <w:t>Описание основных факторов риска, связанных с деятельностью Общества</w:t>
        </w:r>
        <w:r w:rsidR="009C77C3">
          <w:rPr>
            <w:noProof/>
            <w:webHidden/>
          </w:rPr>
          <w:tab/>
        </w:r>
        <w:r>
          <w:rPr>
            <w:noProof/>
            <w:webHidden/>
          </w:rPr>
          <w:fldChar w:fldCharType="begin"/>
        </w:r>
        <w:r w:rsidR="009C77C3">
          <w:rPr>
            <w:noProof/>
            <w:webHidden/>
          </w:rPr>
          <w:instrText xml:space="preserve"> PAGEREF _Toc100678751 \h </w:instrText>
        </w:r>
        <w:r>
          <w:rPr>
            <w:noProof/>
            <w:webHidden/>
          </w:rPr>
        </w:r>
        <w:r>
          <w:rPr>
            <w:noProof/>
            <w:webHidden/>
          </w:rPr>
          <w:fldChar w:fldCharType="separate"/>
        </w:r>
        <w:r w:rsidR="00D70C44">
          <w:rPr>
            <w:noProof/>
            <w:webHidden/>
          </w:rPr>
          <w:t>24</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2" w:history="1">
        <w:r w:rsidR="009C77C3" w:rsidRPr="00A902FF">
          <w:rPr>
            <w:rStyle w:val="a7"/>
            <w:rFonts w:ascii="Arial" w:hAnsi="Arial" w:cs="Arial"/>
            <w:i/>
            <w:noProof/>
          </w:rPr>
          <w:t>Отраслевые риски</w:t>
        </w:r>
        <w:r w:rsidR="009C77C3">
          <w:rPr>
            <w:noProof/>
            <w:webHidden/>
          </w:rPr>
          <w:tab/>
        </w:r>
        <w:r>
          <w:rPr>
            <w:noProof/>
            <w:webHidden/>
          </w:rPr>
          <w:fldChar w:fldCharType="begin"/>
        </w:r>
        <w:r w:rsidR="009C77C3">
          <w:rPr>
            <w:noProof/>
            <w:webHidden/>
          </w:rPr>
          <w:instrText xml:space="preserve"> PAGEREF _Toc100678752 \h </w:instrText>
        </w:r>
        <w:r>
          <w:rPr>
            <w:noProof/>
            <w:webHidden/>
          </w:rPr>
        </w:r>
        <w:r>
          <w:rPr>
            <w:noProof/>
            <w:webHidden/>
          </w:rPr>
          <w:fldChar w:fldCharType="separate"/>
        </w:r>
        <w:r w:rsidR="00D70C44">
          <w:rPr>
            <w:noProof/>
            <w:webHidden/>
          </w:rPr>
          <w:t>24</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3" w:history="1">
        <w:r w:rsidR="009C77C3" w:rsidRPr="00A902FF">
          <w:rPr>
            <w:rStyle w:val="a7"/>
            <w:rFonts w:ascii="Arial" w:hAnsi="Arial" w:cs="Arial"/>
            <w:i/>
            <w:noProof/>
          </w:rPr>
          <w:t>Страновые и региональные риски</w:t>
        </w:r>
        <w:r w:rsidR="009C77C3">
          <w:rPr>
            <w:noProof/>
            <w:webHidden/>
          </w:rPr>
          <w:tab/>
        </w:r>
        <w:r>
          <w:rPr>
            <w:noProof/>
            <w:webHidden/>
          </w:rPr>
          <w:fldChar w:fldCharType="begin"/>
        </w:r>
        <w:r w:rsidR="009C77C3">
          <w:rPr>
            <w:noProof/>
            <w:webHidden/>
          </w:rPr>
          <w:instrText xml:space="preserve"> PAGEREF _Toc100678753 \h </w:instrText>
        </w:r>
        <w:r>
          <w:rPr>
            <w:noProof/>
            <w:webHidden/>
          </w:rPr>
        </w:r>
        <w:r>
          <w:rPr>
            <w:noProof/>
            <w:webHidden/>
          </w:rPr>
          <w:fldChar w:fldCharType="separate"/>
        </w:r>
        <w:r w:rsidR="00D70C44">
          <w:rPr>
            <w:noProof/>
            <w:webHidden/>
          </w:rPr>
          <w:t>25</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4" w:history="1">
        <w:r w:rsidR="009C77C3" w:rsidRPr="00A902FF">
          <w:rPr>
            <w:rStyle w:val="a7"/>
            <w:rFonts w:ascii="Arial" w:hAnsi="Arial" w:cs="Arial"/>
            <w:i/>
            <w:noProof/>
          </w:rPr>
          <w:t>Финансовые риски</w:t>
        </w:r>
        <w:r w:rsidR="009C77C3">
          <w:rPr>
            <w:noProof/>
            <w:webHidden/>
          </w:rPr>
          <w:tab/>
        </w:r>
        <w:r>
          <w:rPr>
            <w:noProof/>
            <w:webHidden/>
          </w:rPr>
          <w:fldChar w:fldCharType="begin"/>
        </w:r>
        <w:r w:rsidR="009C77C3">
          <w:rPr>
            <w:noProof/>
            <w:webHidden/>
          </w:rPr>
          <w:instrText xml:space="preserve"> PAGEREF _Toc100678754 \h </w:instrText>
        </w:r>
        <w:r>
          <w:rPr>
            <w:noProof/>
            <w:webHidden/>
          </w:rPr>
        </w:r>
        <w:r>
          <w:rPr>
            <w:noProof/>
            <w:webHidden/>
          </w:rPr>
          <w:fldChar w:fldCharType="separate"/>
        </w:r>
        <w:r w:rsidR="00D70C44">
          <w:rPr>
            <w:noProof/>
            <w:webHidden/>
          </w:rPr>
          <w:t>26</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5" w:history="1">
        <w:r w:rsidR="009C77C3" w:rsidRPr="00A902FF">
          <w:rPr>
            <w:rStyle w:val="a7"/>
            <w:rFonts w:ascii="Arial" w:hAnsi="Arial" w:cs="Arial"/>
            <w:i/>
            <w:noProof/>
          </w:rPr>
          <w:t>Правовые риски</w:t>
        </w:r>
        <w:r w:rsidR="009C77C3">
          <w:rPr>
            <w:noProof/>
            <w:webHidden/>
          </w:rPr>
          <w:tab/>
        </w:r>
        <w:r>
          <w:rPr>
            <w:noProof/>
            <w:webHidden/>
          </w:rPr>
          <w:fldChar w:fldCharType="begin"/>
        </w:r>
        <w:r w:rsidR="009C77C3">
          <w:rPr>
            <w:noProof/>
            <w:webHidden/>
          </w:rPr>
          <w:instrText xml:space="preserve"> PAGEREF _Toc100678755 \h </w:instrText>
        </w:r>
        <w:r>
          <w:rPr>
            <w:noProof/>
            <w:webHidden/>
          </w:rPr>
        </w:r>
        <w:r>
          <w:rPr>
            <w:noProof/>
            <w:webHidden/>
          </w:rPr>
          <w:fldChar w:fldCharType="separate"/>
        </w:r>
        <w:r w:rsidR="00D70C44">
          <w:rPr>
            <w:noProof/>
            <w:webHidden/>
          </w:rPr>
          <w:t>28</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6" w:history="1">
        <w:r w:rsidR="009C77C3" w:rsidRPr="00A902FF">
          <w:rPr>
            <w:rStyle w:val="a7"/>
            <w:rFonts w:ascii="Arial" w:hAnsi="Arial" w:cs="Arial"/>
            <w:i/>
            <w:noProof/>
          </w:rPr>
          <w:t>Риск потери деловой репутации</w:t>
        </w:r>
        <w:r w:rsidR="009C77C3">
          <w:rPr>
            <w:noProof/>
            <w:webHidden/>
          </w:rPr>
          <w:tab/>
        </w:r>
        <w:r>
          <w:rPr>
            <w:noProof/>
            <w:webHidden/>
          </w:rPr>
          <w:fldChar w:fldCharType="begin"/>
        </w:r>
        <w:r w:rsidR="009C77C3">
          <w:rPr>
            <w:noProof/>
            <w:webHidden/>
          </w:rPr>
          <w:instrText xml:space="preserve"> PAGEREF _Toc100678756 \h </w:instrText>
        </w:r>
        <w:r>
          <w:rPr>
            <w:noProof/>
            <w:webHidden/>
          </w:rPr>
        </w:r>
        <w:r>
          <w:rPr>
            <w:noProof/>
            <w:webHidden/>
          </w:rPr>
          <w:fldChar w:fldCharType="separate"/>
        </w:r>
        <w:r w:rsidR="00D70C44">
          <w:rPr>
            <w:noProof/>
            <w:webHidden/>
          </w:rPr>
          <w:t>28</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7" w:history="1">
        <w:r w:rsidR="009C77C3" w:rsidRPr="00A902FF">
          <w:rPr>
            <w:rStyle w:val="a7"/>
            <w:rFonts w:ascii="Arial" w:hAnsi="Arial" w:cs="Arial"/>
            <w:i/>
            <w:noProof/>
          </w:rPr>
          <w:t>Стратегические риски</w:t>
        </w:r>
        <w:r w:rsidR="009C77C3">
          <w:rPr>
            <w:noProof/>
            <w:webHidden/>
          </w:rPr>
          <w:tab/>
        </w:r>
        <w:r>
          <w:rPr>
            <w:noProof/>
            <w:webHidden/>
          </w:rPr>
          <w:fldChar w:fldCharType="begin"/>
        </w:r>
        <w:r w:rsidR="009C77C3">
          <w:rPr>
            <w:noProof/>
            <w:webHidden/>
          </w:rPr>
          <w:instrText xml:space="preserve"> PAGEREF _Toc100678757 \h </w:instrText>
        </w:r>
        <w:r>
          <w:rPr>
            <w:noProof/>
            <w:webHidden/>
          </w:rPr>
        </w:r>
        <w:r>
          <w:rPr>
            <w:noProof/>
            <w:webHidden/>
          </w:rPr>
          <w:fldChar w:fldCharType="separate"/>
        </w:r>
        <w:r w:rsidR="00D70C44">
          <w:rPr>
            <w:noProof/>
            <w:webHidden/>
          </w:rPr>
          <w:t>28</w:t>
        </w:r>
        <w:r>
          <w:rPr>
            <w:noProof/>
            <w:webHidden/>
          </w:rPr>
          <w:fldChar w:fldCharType="end"/>
        </w:r>
      </w:hyperlink>
    </w:p>
    <w:p w:rsidR="009C77C3" w:rsidRDefault="00F92859">
      <w:pPr>
        <w:pStyle w:val="21"/>
        <w:tabs>
          <w:tab w:val="right" w:leader="underscore" w:pos="9629"/>
        </w:tabs>
        <w:rPr>
          <w:rFonts w:eastAsiaTheme="minorEastAsia" w:cstheme="minorBidi"/>
          <w:b w:val="0"/>
          <w:bCs w:val="0"/>
          <w:noProof/>
        </w:rPr>
      </w:pPr>
      <w:hyperlink w:anchor="_Toc100678758" w:history="1">
        <w:r w:rsidR="009C77C3" w:rsidRPr="00A902FF">
          <w:rPr>
            <w:rStyle w:val="a7"/>
            <w:rFonts w:ascii="Arial" w:hAnsi="Arial" w:cs="Arial"/>
            <w:i/>
            <w:noProof/>
          </w:rPr>
          <w:t>Риски, связанные с деятельностью ПАО «КМЗ»</w:t>
        </w:r>
        <w:r w:rsidR="009C77C3">
          <w:rPr>
            <w:noProof/>
            <w:webHidden/>
          </w:rPr>
          <w:tab/>
        </w:r>
        <w:r>
          <w:rPr>
            <w:noProof/>
            <w:webHidden/>
          </w:rPr>
          <w:fldChar w:fldCharType="begin"/>
        </w:r>
        <w:r w:rsidR="009C77C3">
          <w:rPr>
            <w:noProof/>
            <w:webHidden/>
          </w:rPr>
          <w:instrText xml:space="preserve"> PAGEREF _Toc100678758 \h </w:instrText>
        </w:r>
        <w:r>
          <w:rPr>
            <w:noProof/>
            <w:webHidden/>
          </w:rPr>
        </w:r>
        <w:r>
          <w:rPr>
            <w:noProof/>
            <w:webHidden/>
          </w:rPr>
          <w:fldChar w:fldCharType="separate"/>
        </w:r>
        <w:r w:rsidR="00D70C44">
          <w:rPr>
            <w:noProof/>
            <w:webHidden/>
          </w:rPr>
          <w:t>29</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59" w:history="1">
        <w:r w:rsidR="009C77C3" w:rsidRPr="00A902FF">
          <w:rPr>
            <w:rStyle w:val="a7"/>
            <w:rFonts w:ascii="Arial" w:hAnsi="Arial" w:cs="Arial"/>
            <w:noProof/>
          </w:rPr>
          <w:t>Перечень совершенных Обществом в отчетном году сделок, 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r w:rsidR="009C77C3">
          <w:rPr>
            <w:noProof/>
            <w:webHidden/>
          </w:rPr>
          <w:tab/>
        </w:r>
        <w:r>
          <w:rPr>
            <w:noProof/>
            <w:webHidden/>
          </w:rPr>
          <w:fldChar w:fldCharType="begin"/>
        </w:r>
        <w:r w:rsidR="009C77C3">
          <w:rPr>
            <w:noProof/>
            <w:webHidden/>
          </w:rPr>
          <w:instrText xml:space="preserve"> PAGEREF _Toc100678759 \h </w:instrText>
        </w:r>
        <w:r>
          <w:rPr>
            <w:noProof/>
            <w:webHidden/>
          </w:rPr>
        </w:r>
        <w:r>
          <w:rPr>
            <w:noProof/>
            <w:webHidden/>
          </w:rPr>
          <w:fldChar w:fldCharType="separate"/>
        </w:r>
        <w:r w:rsidR="00D70C44">
          <w:rPr>
            <w:noProof/>
            <w:webHidden/>
          </w:rPr>
          <w:t>29</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60" w:history="1">
        <w:r w:rsidR="009C77C3" w:rsidRPr="00A902FF">
          <w:rPr>
            <w:rStyle w:val="a7"/>
            <w:rFonts w:ascii="Arial" w:hAnsi="Arial" w:cs="Arial"/>
            <w:noProof/>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9C77C3">
          <w:rPr>
            <w:noProof/>
            <w:webHidden/>
          </w:rPr>
          <w:tab/>
        </w:r>
        <w:r>
          <w:rPr>
            <w:noProof/>
            <w:webHidden/>
          </w:rPr>
          <w:fldChar w:fldCharType="begin"/>
        </w:r>
        <w:r w:rsidR="009C77C3">
          <w:rPr>
            <w:noProof/>
            <w:webHidden/>
          </w:rPr>
          <w:instrText xml:space="preserve"> PAGEREF _Toc100678760 \h </w:instrText>
        </w:r>
        <w:r>
          <w:rPr>
            <w:noProof/>
            <w:webHidden/>
          </w:rPr>
        </w:r>
        <w:r>
          <w:rPr>
            <w:noProof/>
            <w:webHidden/>
          </w:rPr>
          <w:fldChar w:fldCharType="separate"/>
        </w:r>
        <w:r w:rsidR="00D70C44">
          <w:rPr>
            <w:noProof/>
            <w:webHidden/>
          </w:rPr>
          <w:t>29</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61" w:history="1">
        <w:r w:rsidR="009C77C3" w:rsidRPr="00A902FF">
          <w:rPr>
            <w:rStyle w:val="a7"/>
            <w:rFonts w:ascii="Arial" w:hAnsi="Arial" w:cs="Arial"/>
            <w:noProof/>
          </w:rPr>
          <w:t>Состав совета директоров Общества, включая информацию об изменениях в составе совета директоров, имевших место в отчетном году</w:t>
        </w:r>
        <w:r w:rsidR="009C77C3">
          <w:rPr>
            <w:noProof/>
            <w:webHidden/>
          </w:rPr>
          <w:tab/>
        </w:r>
        <w:r>
          <w:rPr>
            <w:noProof/>
            <w:webHidden/>
          </w:rPr>
          <w:fldChar w:fldCharType="begin"/>
        </w:r>
        <w:r w:rsidR="009C77C3">
          <w:rPr>
            <w:noProof/>
            <w:webHidden/>
          </w:rPr>
          <w:instrText xml:space="preserve"> PAGEREF _Toc100678761 \h </w:instrText>
        </w:r>
        <w:r>
          <w:rPr>
            <w:noProof/>
            <w:webHidden/>
          </w:rPr>
        </w:r>
        <w:r>
          <w:rPr>
            <w:noProof/>
            <w:webHidden/>
          </w:rPr>
          <w:fldChar w:fldCharType="separate"/>
        </w:r>
        <w:r w:rsidR="00D70C44">
          <w:rPr>
            <w:noProof/>
            <w:webHidden/>
          </w:rPr>
          <w:t>29</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62" w:history="1">
        <w:r w:rsidR="009C77C3" w:rsidRPr="00A902FF">
          <w:rPr>
            <w:rStyle w:val="a7"/>
            <w:rFonts w:ascii="Arial" w:hAnsi="Arial" w:cs="Arial"/>
            <w:noProof/>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9C77C3">
          <w:rPr>
            <w:noProof/>
            <w:webHidden/>
          </w:rPr>
          <w:tab/>
        </w:r>
        <w:r>
          <w:rPr>
            <w:noProof/>
            <w:webHidden/>
          </w:rPr>
          <w:fldChar w:fldCharType="begin"/>
        </w:r>
        <w:r w:rsidR="009C77C3">
          <w:rPr>
            <w:noProof/>
            <w:webHidden/>
          </w:rPr>
          <w:instrText xml:space="preserve"> PAGEREF _Toc100678762 \h </w:instrText>
        </w:r>
        <w:r>
          <w:rPr>
            <w:noProof/>
            <w:webHidden/>
          </w:rPr>
        </w:r>
        <w:r>
          <w:rPr>
            <w:noProof/>
            <w:webHidden/>
          </w:rPr>
          <w:fldChar w:fldCharType="separate"/>
        </w:r>
        <w:r w:rsidR="00D70C44">
          <w:rPr>
            <w:noProof/>
            <w:webHidden/>
          </w:rPr>
          <w:t>31</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63" w:history="1">
        <w:r w:rsidR="009C77C3" w:rsidRPr="00A902FF">
          <w:rPr>
            <w:rStyle w:val="a7"/>
            <w:rFonts w:ascii="Arial" w:hAnsi="Arial" w:cs="Arial"/>
            <w:noProof/>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9C77C3">
          <w:rPr>
            <w:noProof/>
            <w:webHidden/>
          </w:rPr>
          <w:tab/>
        </w:r>
        <w:r>
          <w:rPr>
            <w:noProof/>
            <w:webHidden/>
          </w:rPr>
          <w:fldChar w:fldCharType="begin"/>
        </w:r>
        <w:r w:rsidR="009C77C3">
          <w:rPr>
            <w:noProof/>
            <w:webHidden/>
          </w:rPr>
          <w:instrText xml:space="preserve"> PAGEREF _Toc100678763 \h </w:instrText>
        </w:r>
        <w:r>
          <w:rPr>
            <w:noProof/>
            <w:webHidden/>
          </w:rPr>
        </w:r>
        <w:r>
          <w:rPr>
            <w:noProof/>
            <w:webHidden/>
          </w:rPr>
          <w:fldChar w:fldCharType="separate"/>
        </w:r>
        <w:r w:rsidR="00D70C44">
          <w:rPr>
            <w:noProof/>
            <w:webHidden/>
          </w:rPr>
          <w:t>31</w:t>
        </w:r>
        <w:r>
          <w:rPr>
            <w:noProof/>
            <w:webHidden/>
          </w:rPr>
          <w:fldChar w:fldCharType="end"/>
        </w:r>
      </w:hyperlink>
    </w:p>
    <w:p w:rsidR="009C77C3" w:rsidRDefault="00F92859">
      <w:pPr>
        <w:pStyle w:val="11"/>
        <w:tabs>
          <w:tab w:val="right" w:leader="underscore" w:pos="9629"/>
        </w:tabs>
        <w:rPr>
          <w:rFonts w:eastAsiaTheme="minorEastAsia" w:cstheme="minorBidi"/>
          <w:b w:val="0"/>
          <w:bCs w:val="0"/>
          <w:i w:val="0"/>
          <w:iCs w:val="0"/>
          <w:noProof/>
          <w:sz w:val="22"/>
          <w:szCs w:val="22"/>
        </w:rPr>
      </w:pPr>
      <w:hyperlink w:anchor="_Toc100678764" w:history="1">
        <w:r w:rsidR="009C77C3" w:rsidRPr="00A902FF">
          <w:rPr>
            <w:rStyle w:val="a7"/>
            <w:rFonts w:ascii="Arial" w:hAnsi="Arial" w:cs="Arial"/>
            <w:noProof/>
          </w:rPr>
          <w:t>Сведения о соблюдении Обществом Кодекса корпоративного поведения</w:t>
        </w:r>
        <w:r w:rsidR="009C77C3">
          <w:rPr>
            <w:noProof/>
            <w:webHidden/>
          </w:rPr>
          <w:tab/>
        </w:r>
        <w:r>
          <w:rPr>
            <w:noProof/>
            <w:webHidden/>
          </w:rPr>
          <w:fldChar w:fldCharType="begin"/>
        </w:r>
        <w:r w:rsidR="009C77C3">
          <w:rPr>
            <w:noProof/>
            <w:webHidden/>
          </w:rPr>
          <w:instrText xml:space="preserve"> PAGEREF _Toc100678764 \h </w:instrText>
        </w:r>
        <w:r>
          <w:rPr>
            <w:noProof/>
            <w:webHidden/>
          </w:rPr>
        </w:r>
        <w:r>
          <w:rPr>
            <w:noProof/>
            <w:webHidden/>
          </w:rPr>
          <w:fldChar w:fldCharType="separate"/>
        </w:r>
        <w:r w:rsidR="00D70C44">
          <w:rPr>
            <w:noProof/>
            <w:webHidden/>
          </w:rPr>
          <w:t>32</w:t>
        </w:r>
        <w:r>
          <w:rPr>
            <w:noProof/>
            <w:webHidden/>
          </w:rPr>
          <w:fldChar w:fldCharType="end"/>
        </w:r>
      </w:hyperlink>
    </w:p>
    <w:p w:rsidR="00D96762" w:rsidRPr="009274A2" w:rsidRDefault="00F92859" w:rsidP="00D96762">
      <w:pPr>
        <w:spacing w:after="200"/>
        <w:jc w:val="center"/>
        <w:rPr>
          <w:rFonts w:ascii="Arial" w:hAnsi="Arial" w:cs="Arial"/>
        </w:rPr>
      </w:pPr>
      <w:r w:rsidRPr="009274A2">
        <w:rPr>
          <w:rFonts w:ascii="Arial" w:hAnsi="Arial" w:cs="Arial"/>
          <w:b/>
          <w:bCs/>
          <w:i/>
          <w:iCs/>
          <w:sz w:val="8"/>
        </w:rPr>
        <w:fldChar w:fldCharType="end"/>
      </w:r>
    </w:p>
    <w:p w:rsidR="00D96762" w:rsidRPr="009274A2" w:rsidRDefault="00D96762">
      <w:pPr>
        <w:spacing w:after="200"/>
        <w:jc w:val="both"/>
        <w:rPr>
          <w:rFonts w:ascii="Arial" w:hAnsi="Arial" w:cs="Arial"/>
          <w:b/>
          <w:bCs/>
          <w:sz w:val="32"/>
        </w:rPr>
      </w:pPr>
      <w:r w:rsidRPr="009274A2">
        <w:rPr>
          <w:rFonts w:ascii="Arial" w:hAnsi="Arial" w:cs="Arial"/>
          <w:sz w:val="32"/>
        </w:rPr>
        <w:br w:type="page"/>
      </w:r>
    </w:p>
    <w:p w:rsidR="004C0A27" w:rsidRPr="00ED4C26" w:rsidRDefault="004C0A27" w:rsidP="006E6D84">
      <w:pPr>
        <w:pStyle w:val="1"/>
        <w:ind w:firstLine="851"/>
        <w:rPr>
          <w:rFonts w:ascii="Arial" w:hAnsi="Arial" w:cs="Arial"/>
          <w:sz w:val="32"/>
        </w:rPr>
      </w:pPr>
      <w:bookmarkStart w:id="0" w:name="_Toc415487663"/>
      <w:bookmarkStart w:id="1" w:name="_Toc100678733"/>
      <w:r w:rsidRPr="00ED4C26">
        <w:rPr>
          <w:rFonts w:ascii="Arial" w:hAnsi="Arial" w:cs="Arial"/>
          <w:sz w:val="32"/>
        </w:rPr>
        <w:lastRenderedPageBreak/>
        <w:t>Сведения об Обществе</w:t>
      </w:r>
      <w:bookmarkEnd w:id="0"/>
      <w:bookmarkEnd w:id="1"/>
    </w:p>
    <w:p w:rsidR="004C0A27" w:rsidRPr="009274A2" w:rsidRDefault="004C0A27" w:rsidP="004C0A27">
      <w:pPr>
        <w:pStyle w:val="1"/>
        <w:rPr>
          <w:rFonts w:ascii="Arial" w:hAnsi="Arial" w:cs="Arial"/>
          <w:sz w:val="22"/>
          <w:szCs w:val="22"/>
        </w:rPr>
      </w:pPr>
    </w:p>
    <w:p w:rsidR="00C1537B" w:rsidRPr="009931F0" w:rsidRDefault="00C1537B" w:rsidP="00C1537B">
      <w:pPr>
        <w:suppressAutoHyphens/>
        <w:spacing w:before="120" w:after="120"/>
        <w:ind w:firstLine="709"/>
        <w:jc w:val="both"/>
        <w:rPr>
          <w:rFonts w:ascii="Arial" w:eastAsia="MS Mincho" w:hAnsi="Arial" w:cs="Arial"/>
        </w:rPr>
      </w:pPr>
      <w:bookmarkStart w:id="2" w:name="_Toc415487664"/>
      <w:r w:rsidRPr="009931F0">
        <w:rPr>
          <w:rFonts w:ascii="Arial" w:hAnsi="Arial" w:cs="Arial"/>
        </w:rPr>
        <w:t xml:space="preserve">Публичное акционерное общество «Косогорский металлургический завод» (ПАО «КМЗ») создано в результате приватизации одноименного государственного предприятия и зарегистрировано Постановлением </w:t>
      </w:r>
      <w:r w:rsidRPr="009931F0">
        <w:rPr>
          <w:rFonts w:ascii="Arial" w:eastAsia="MS Mincho" w:hAnsi="Arial" w:cs="Arial"/>
        </w:rPr>
        <w:t>Главы администрации Привокзального района г. Тулы от 12.10.1992 № 1293. Дата основания завода – 8 мая 1897 года.</w:t>
      </w:r>
    </w:p>
    <w:p w:rsidR="00C1537B" w:rsidRPr="009931F0" w:rsidRDefault="00C1537B" w:rsidP="00C1537B">
      <w:pPr>
        <w:suppressAutoHyphens/>
        <w:spacing w:before="120" w:after="120"/>
        <w:ind w:firstLine="709"/>
        <w:jc w:val="both"/>
        <w:rPr>
          <w:rFonts w:ascii="Arial" w:eastAsia="MS Mincho" w:hAnsi="Arial" w:cs="Arial"/>
        </w:rPr>
      </w:pPr>
      <w:r w:rsidRPr="009931F0">
        <w:rPr>
          <w:rFonts w:ascii="Arial" w:hAnsi="Arial" w:cs="Arial"/>
        </w:rPr>
        <w:t xml:space="preserve">Место нахождения и почтовый адрес Общества: </w:t>
      </w:r>
      <w:r w:rsidRPr="009931F0">
        <w:rPr>
          <w:rFonts w:ascii="Arial" w:eastAsia="MS Mincho" w:hAnsi="Arial" w:cs="Arial"/>
        </w:rPr>
        <w:t>Россия, 300903, г. Тула, п. Косая Гора, Орловское шоссе, 4.</w:t>
      </w:r>
    </w:p>
    <w:p w:rsidR="00C1537B" w:rsidRPr="009931F0" w:rsidRDefault="00C1537B" w:rsidP="00C1537B">
      <w:pPr>
        <w:suppressAutoHyphens/>
        <w:spacing w:before="120" w:after="120"/>
        <w:ind w:firstLine="709"/>
        <w:jc w:val="both"/>
        <w:rPr>
          <w:rFonts w:ascii="Arial" w:eastAsia="MS Mincho" w:hAnsi="Arial" w:cs="Arial"/>
        </w:rPr>
      </w:pPr>
      <w:r w:rsidRPr="009931F0">
        <w:rPr>
          <w:rFonts w:ascii="Arial" w:eastAsia="MS Mincho" w:hAnsi="Arial" w:cs="Arial"/>
        </w:rPr>
        <w:t xml:space="preserve">Телефон: (4872) 24-30-66, факс: (4872) 24-35-37, </w:t>
      </w:r>
      <w:r w:rsidRPr="009931F0">
        <w:rPr>
          <w:rFonts w:ascii="Arial" w:eastAsia="MS Mincho" w:hAnsi="Arial" w:cs="Arial"/>
          <w:lang w:val="en-US"/>
        </w:rPr>
        <w:t>e</w:t>
      </w:r>
      <w:r w:rsidRPr="009931F0">
        <w:rPr>
          <w:rFonts w:ascii="Arial" w:eastAsia="MS Mincho" w:hAnsi="Arial" w:cs="Arial"/>
        </w:rPr>
        <w:t>-</w:t>
      </w:r>
      <w:r w:rsidRPr="009931F0">
        <w:rPr>
          <w:rFonts w:ascii="Arial" w:eastAsia="MS Mincho" w:hAnsi="Arial" w:cs="Arial"/>
          <w:lang w:val="en-US"/>
        </w:rPr>
        <w:t>mail</w:t>
      </w:r>
      <w:r w:rsidRPr="009931F0">
        <w:rPr>
          <w:rFonts w:ascii="Arial" w:eastAsia="MS Mincho" w:hAnsi="Arial" w:cs="Arial"/>
        </w:rPr>
        <w:t xml:space="preserve">: </w:t>
      </w:r>
      <w:hyperlink r:id="rId8" w:history="1">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kmz</w:t>
        </w:r>
        <w:r w:rsidRPr="009931F0">
          <w:rPr>
            <w:rFonts w:ascii="Arial" w:eastAsia="MS Mincho" w:hAnsi="Arial" w:cs="Arial"/>
            <w:color w:val="0000FF"/>
            <w:u w:val="single"/>
          </w:rPr>
          <w:t>-</w:t>
        </w:r>
        <w:r w:rsidRPr="009931F0">
          <w:rPr>
            <w:rFonts w:ascii="Arial" w:eastAsia="MS Mincho" w:hAnsi="Arial" w:cs="Arial"/>
            <w:color w:val="0000FF"/>
            <w:u w:val="single"/>
            <w:lang w:val="en-US"/>
          </w:rPr>
          <w:t>tula</w:t>
        </w:r>
        <w:r w:rsidRPr="009931F0">
          <w:rPr>
            <w:rFonts w:ascii="Arial" w:eastAsia="MS Mincho" w:hAnsi="Arial" w:cs="Arial"/>
            <w:color w:val="0000FF"/>
            <w:u w:val="single"/>
          </w:rPr>
          <w:t>.</w:t>
        </w:r>
        <w:r w:rsidRPr="009931F0">
          <w:rPr>
            <w:rFonts w:ascii="Arial" w:eastAsia="MS Mincho" w:hAnsi="Arial" w:cs="Arial"/>
            <w:color w:val="0000FF"/>
            <w:u w:val="single"/>
            <w:lang w:val="en-US"/>
          </w:rPr>
          <w:t>ru</w:t>
        </w:r>
      </w:hyperlink>
      <w:r w:rsidRPr="009931F0">
        <w:rPr>
          <w:rFonts w:ascii="Arial" w:eastAsia="MS Mincho" w:hAnsi="Arial" w:cs="Arial"/>
        </w:rPr>
        <w:t>.</w:t>
      </w:r>
    </w:p>
    <w:p w:rsidR="00C1537B" w:rsidRPr="009931F0" w:rsidRDefault="00C1537B" w:rsidP="00C1537B">
      <w:pPr>
        <w:suppressAutoHyphens/>
        <w:spacing w:before="120" w:after="120"/>
        <w:ind w:firstLine="709"/>
        <w:jc w:val="both"/>
        <w:rPr>
          <w:rFonts w:ascii="Arial" w:hAnsi="Arial" w:cs="Arial"/>
        </w:rPr>
      </w:pPr>
      <w:r w:rsidRPr="009931F0">
        <w:rPr>
          <w:rFonts w:ascii="Arial" w:hAnsi="Arial" w:cs="Arial"/>
        </w:rPr>
        <w:t xml:space="preserve">Основными направлениями деятельности Общества являются </w:t>
      </w:r>
      <w:r w:rsidRPr="009931F0">
        <w:rPr>
          <w:rFonts w:ascii="Arial" w:eastAsia="MS Mincho" w:hAnsi="Arial" w:cs="Arial"/>
        </w:rPr>
        <w:t>производство и реализация продукции доменного производства: литейного, передельного чугуна, ферромарганца, чугунного литья, а также побочной продукции и теплоэнергии.</w:t>
      </w:r>
    </w:p>
    <w:p w:rsidR="00C1537B" w:rsidRPr="009931F0" w:rsidRDefault="00C1537B" w:rsidP="00C1537B">
      <w:pPr>
        <w:suppressAutoHyphens/>
        <w:spacing w:before="120" w:after="120"/>
        <w:ind w:firstLine="709"/>
        <w:jc w:val="both"/>
        <w:rPr>
          <w:rFonts w:ascii="Arial" w:hAnsi="Arial" w:cs="Arial"/>
        </w:rPr>
      </w:pPr>
      <w:r w:rsidRPr="009931F0">
        <w:rPr>
          <w:rFonts w:ascii="Arial" w:hAnsi="Arial" w:cs="Arial"/>
        </w:rPr>
        <w:t>Оплаченный уставный  капи</w:t>
      </w:r>
      <w:r>
        <w:rPr>
          <w:rFonts w:ascii="Arial" w:hAnsi="Arial" w:cs="Arial"/>
        </w:rPr>
        <w:t>тал  ПАО «КМЗ»  на  31.12.2021</w:t>
      </w:r>
      <w:r w:rsidRPr="009931F0">
        <w:rPr>
          <w:rFonts w:ascii="Arial" w:hAnsi="Arial" w:cs="Arial"/>
        </w:rPr>
        <w:t xml:space="preserve"> г. составляет 28 472 874 руб. и включает в себя:</w:t>
      </w:r>
    </w:p>
    <w:p w:rsidR="00C1537B" w:rsidRPr="009931F0" w:rsidRDefault="00C1537B" w:rsidP="00C1537B">
      <w:pPr>
        <w:numPr>
          <w:ilvl w:val="0"/>
          <w:numId w:val="1"/>
        </w:numPr>
        <w:suppressAutoHyphens/>
        <w:spacing w:before="120" w:after="120"/>
        <w:jc w:val="both"/>
        <w:rPr>
          <w:rFonts w:ascii="Arial" w:hAnsi="Arial" w:cs="Arial"/>
        </w:rPr>
      </w:pPr>
      <w:r w:rsidRPr="009931F0">
        <w:rPr>
          <w:rFonts w:ascii="Arial" w:hAnsi="Arial" w:cs="Arial"/>
        </w:rPr>
        <w:t>28 472 874 акций уставного капитала (в соответствии с Уставом), в том числе 28 416 095 обыкновенных и 56 779 привилегированных акций номиналом 1 руб.</w:t>
      </w:r>
    </w:p>
    <w:p w:rsidR="00C1537B" w:rsidRPr="009931F0" w:rsidRDefault="00C1537B" w:rsidP="00C1537B">
      <w:pPr>
        <w:suppressAutoHyphens/>
        <w:spacing w:before="120" w:after="120"/>
        <w:ind w:firstLine="709"/>
        <w:jc w:val="both"/>
        <w:rPr>
          <w:rFonts w:ascii="Arial" w:hAnsi="Arial" w:cs="Arial"/>
        </w:rPr>
      </w:pPr>
      <w:r w:rsidRPr="00954655">
        <w:rPr>
          <w:rFonts w:ascii="Arial" w:hAnsi="Arial" w:cs="Arial"/>
        </w:rPr>
        <w:t>Количество лиц</w:t>
      </w:r>
      <w:r w:rsidRPr="009931F0">
        <w:rPr>
          <w:rFonts w:ascii="Arial" w:hAnsi="Arial" w:cs="Arial"/>
        </w:rPr>
        <w:t>, зарегистрированных в</w:t>
      </w:r>
      <w:r>
        <w:rPr>
          <w:rFonts w:ascii="Arial" w:hAnsi="Arial" w:cs="Arial"/>
        </w:rPr>
        <w:t xml:space="preserve"> реестре акционеров на 31.12.2021</w:t>
      </w:r>
      <w:r w:rsidRPr="009931F0">
        <w:rPr>
          <w:rFonts w:ascii="Arial" w:hAnsi="Arial" w:cs="Arial"/>
        </w:rPr>
        <w:t xml:space="preserve"> г. – 376</w:t>
      </w:r>
      <w:r>
        <w:rPr>
          <w:rFonts w:ascii="Arial" w:hAnsi="Arial" w:cs="Arial"/>
        </w:rPr>
        <w:t>6</w:t>
      </w:r>
      <w:r w:rsidRPr="009931F0">
        <w:rPr>
          <w:rFonts w:ascii="Arial" w:hAnsi="Arial" w:cs="Arial"/>
        </w:rPr>
        <w:t xml:space="preserve">, в том числе 3759 физических, </w:t>
      </w:r>
      <w:r>
        <w:rPr>
          <w:rFonts w:ascii="Arial" w:hAnsi="Arial" w:cs="Arial"/>
        </w:rPr>
        <w:t>6</w:t>
      </w:r>
      <w:r w:rsidRPr="009931F0">
        <w:rPr>
          <w:rFonts w:ascii="Arial" w:hAnsi="Arial" w:cs="Arial"/>
        </w:rPr>
        <w:t xml:space="preserve"> юридических, 1 номинальный держатель.</w:t>
      </w:r>
    </w:p>
    <w:p w:rsidR="00C1537B" w:rsidRPr="009931F0" w:rsidRDefault="00C1537B" w:rsidP="00C1537B">
      <w:pPr>
        <w:suppressAutoHyphens/>
        <w:spacing w:before="120" w:after="120"/>
        <w:ind w:firstLine="709"/>
        <w:jc w:val="both"/>
        <w:rPr>
          <w:rFonts w:ascii="Arial" w:hAnsi="Arial" w:cs="Arial"/>
        </w:rPr>
      </w:pPr>
      <w:r w:rsidRPr="009931F0">
        <w:rPr>
          <w:rFonts w:ascii="Arial" w:hAnsi="Arial" w:cs="Arial"/>
        </w:rPr>
        <w:t>Реестр акционеров ПАО «КМЗ» ведет ООО «Реестр-РН» (Тульский филиал ООО «Реестр-РН»),  г. Тула, ул. Тургеневская, 50. Лицензия ФСФР № 10</w:t>
      </w:r>
      <w:r w:rsidRPr="009931F0">
        <w:rPr>
          <w:rFonts w:ascii="Arial" w:hAnsi="Arial" w:cs="Arial"/>
        </w:rPr>
        <w:noBreakHyphen/>
        <w:t>000</w:t>
      </w:r>
      <w:r w:rsidRPr="009931F0">
        <w:rPr>
          <w:rFonts w:ascii="Arial" w:hAnsi="Arial" w:cs="Arial"/>
        </w:rPr>
        <w:noBreakHyphen/>
        <w:t>1</w:t>
      </w:r>
      <w:r w:rsidRPr="009931F0">
        <w:rPr>
          <w:rFonts w:ascii="Arial" w:hAnsi="Arial" w:cs="Arial"/>
        </w:rPr>
        <w:noBreakHyphen/>
        <w:t>00330 от 16.12.2004г. без ограничения срока действия.</w:t>
      </w:r>
    </w:p>
    <w:p w:rsidR="00C1537B" w:rsidRPr="009931F0" w:rsidRDefault="00C1537B" w:rsidP="00C1537B">
      <w:pPr>
        <w:spacing w:before="120" w:after="120"/>
        <w:ind w:firstLine="709"/>
        <w:jc w:val="both"/>
        <w:rPr>
          <w:rFonts w:ascii="Arial" w:hAnsi="Arial" w:cs="Arial"/>
        </w:rPr>
      </w:pPr>
      <w:r w:rsidRPr="00CE6590">
        <w:rPr>
          <w:rFonts w:ascii="Arial" w:hAnsi="Arial" w:cs="Arial"/>
        </w:rPr>
        <w:t>Аудитором Общества</w:t>
      </w:r>
      <w:r w:rsidRPr="009931F0">
        <w:rPr>
          <w:rFonts w:ascii="Arial" w:hAnsi="Arial" w:cs="Arial"/>
        </w:rPr>
        <w:t xml:space="preserve"> является ООО «ТиЭсЭй консалтинг», с к</w:t>
      </w:r>
      <w:r>
        <w:rPr>
          <w:rFonts w:ascii="Arial" w:hAnsi="Arial" w:cs="Arial"/>
        </w:rPr>
        <w:t>оторым заключен договор № ТКМЗ/210518 от 16.06.2021</w:t>
      </w:r>
      <w:r w:rsidRPr="009931F0">
        <w:rPr>
          <w:rFonts w:ascii="Arial" w:hAnsi="Arial" w:cs="Arial"/>
        </w:rPr>
        <w:t xml:space="preserve"> г. по оказанию аудиторских услуг</w:t>
      </w:r>
      <w:r>
        <w:rPr>
          <w:rFonts w:ascii="Arial" w:hAnsi="Arial" w:cs="Arial"/>
        </w:rPr>
        <w:t xml:space="preserve"> за  отчетный период с 01.01.2021 г. по 31.12.2021</w:t>
      </w:r>
      <w:r w:rsidRPr="009931F0">
        <w:rPr>
          <w:rFonts w:ascii="Arial" w:hAnsi="Arial" w:cs="Arial"/>
        </w:rPr>
        <w:t xml:space="preserve"> г.</w:t>
      </w:r>
      <w:r w:rsidRPr="009931F0">
        <w:rPr>
          <w:rFonts w:ascii="Arial" w:hAnsi="Arial" w:cs="Arial"/>
          <w:b/>
          <w:bCs/>
        </w:rPr>
        <w:br w:type="page"/>
      </w:r>
    </w:p>
    <w:p w:rsidR="008057CD" w:rsidRPr="00467CE9" w:rsidRDefault="008057CD" w:rsidP="00530215">
      <w:pPr>
        <w:pStyle w:val="1"/>
        <w:spacing w:before="120" w:after="120"/>
        <w:rPr>
          <w:rFonts w:ascii="Arial" w:hAnsi="Arial" w:cs="Arial"/>
          <w:sz w:val="32"/>
        </w:rPr>
      </w:pPr>
      <w:bookmarkStart w:id="3" w:name="_Toc100678734"/>
      <w:r w:rsidRPr="008F229F">
        <w:rPr>
          <w:rFonts w:ascii="Arial" w:hAnsi="Arial" w:cs="Arial"/>
          <w:sz w:val="32"/>
        </w:rPr>
        <w:lastRenderedPageBreak/>
        <w:t>Положение Общества в отрасли</w:t>
      </w:r>
      <w:bookmarkEnd w:id="2"/>
      <w:bookmarkEnd w:id="3"/>
    </w:p>
    <w:p w:rsidR="008057CD" w:rsidRPr="009274A2" w:rsidRDefault="008057CD" w:rsidP="00530215">
      <w:pPr>
        <w:pStyle w:val="2"/>
        <w:spacing w:before="120" w:after="120"/>
        <w:rPr>
          <w:rFonts w:ascii="Arial" w:hAnsi="Arial" w:cs="Arial"/>
          <w:i/>
          <w:color w:val="auto"/>
          <w:sz w:val="28"/>
        </w:rPr>
      </w:pPr>
      <w:bookmarkStart w:id="4" w:name="_Toc415487665"/>
      <w:bookmarkStart w:id="5" w:name="_Toc100678735"/>
      <w:r w:rsidRPr="003B4863">
        <w:rPr>
          <w:rFonts w:ascii="Arial" w:hAnsi="Arial" w:cs="Arial"/>
          <w:i/>
          <w:color w:val="auto"/>
          <w:sz w:val="28"/>
        </w:rPr>
        <w:t>Краткое описание предприятия</w:t>
      </w:r>
      <w:bookmarkEnd w:id="4"/>
      <w:bookmarkEnd w:id="5"/>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 xml:space="preserve">ПАО «Косогорский металлургический завод» - одно из старейших предприятий черной металлургии в России. Завод был основан в 1897 году Бельгийским акционерным Обществом Тульских доменных печей. В настоящее время ПАО «КМЗ» является современным металлургическим предприятием с основным (доменным) и вспомогательными производствами (энергетическим, литейным производством, а также производством различных видов продукции для строительной отрасли).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является одним из крупнейших предприятий г. Тулы и Тульской области, входит в перечень крупнейших налогоплательщиков Тульской области и вносит значимый вклад в пополнени</w:t>
      </w:r>
      <w:r w:rsidR="0079710D">
        <w:rPr>
          <w:rFonts w:ascii="Arial" w:hAnsi="Arial" w:cs="Arial"/>
          <w:szCs w:val="22"/>
        </w:rPr>
        <w:t xml:space="preserve">е федерального и регионального </w:t>
      </w:r>
      <w:r w:rsidRPr="009274A2">
        <w:rPr>
          <w:rFonts w:ascii="Arial" w:hAnsi="Arial" w:cs="Arial"/>
          <w:szCs w:val="22"/>
        </w:rPr>
        <w:t>бюджетов.</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9274A2">
        <w:rPr>
          <w:rFonts w:ascii="Arial" w:hAnsi="Arial" w:cs="Arial"/>
          <w:szCs w:val="22"/>
          <w:vertAlign w:val="superscript"/>
        </w:rPr>
        <w:t>3</w:t>
      </w:r>
      <w:r w:rsidRPr="009274A2">
        <w:rPr>
          <w:rFonts w:ascii="Arial" w:hAnsi="Arial" w:cs="Arial"/>
          <w:szCs w:val="22"/>
        </w:rPr>
        <w:t xml:space="preserve"> соответственно.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Производственные мощности ПАО «КМЗ»:</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№1 – 624 тыс. т передельного или 438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№2 – 73 тыс. т ферромарганца или 150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№3 – 456 тыс. т передельного или 360 тыс. т литейного чугуна в год.</w:t>
      </w:r>
    </w:p>
    <w:p w:rsidR="00E90147" w:rsidRPr="009274A2" w:rsidRDefault="004215D3" w:rsidP="00E90147">
      <w:pPr>
        <w:spacing w:before="120" w:after="120"/>
        <w:ind w:firstLine="709"/>
        <w:jc w:val="both"/>
        <w:rPr>
          <w:rFonts w:ascii="Arial" w:hAnsi="Arial" w:cs="Arial"/>
          <w:szCs w:val="22"/>
        </w:rPr>
      </w:pPr>
      <w:r w:rsidRPr="003B4863">
        <w:rPr>
          <w:rFonts w:ascii="Arial" w:hAnsi="Arial" w:cs="Arial"/>
          <w:szCs w:val="22"/>
        </w:rPr>
        <w:t xml:space="preserve">Доменная печь №1 </w:t>
      </w:r>
      <w:r w:rsidR="00CC3E95" w:rsidRPr="003B4863">
        <w:rPr>
          <w:rFonts w:ascii="Arial" w:hAnsi="Arial" w:cs="Arial"/>
          <w:szCs w:val="22"/>
        </w:rPr>
        <w:t>остановл</w:t>
      </w:r>
      <w:r w:rsidRPr="003B4863">
        <w:rPr>
          <w:rFonts w:ascii="Arial" w:hAnsi="Arial" w:cs="Arial"/>
          <w:szCs w:val="22"/>
        </w:rPr>
        <w:t xml:space="preserve">ена в </w:t>
      </w:r>
      <w:r w:rsidR="00CC3E95" w:rsidRPr="003B4863">
        <w:rPr>
          <w:rFonts w:ascii="Arial" w:hAnsi="Arial" w:cs="Arial"/>
          <w:szCs w:val="22"/>
        </w:rPr>
        <w:t xml:space="preserve">июне </w:t>
      </w:r>
      <w:r w:rsidRPr="003B4863">
        <w:rPr>
          <w:rFonts w:ascii="Arial" w:hAnsi="Arial" w:cs="Arial"/>
          <w:szCs w:val="22"/>
        </w:rPr>
        <w:t>201</w:t>
      </w:r>
      <w:r w:rsidR="00CC3E95" w:rsidRPr="003B4863">
        <w:rPr>
          <w:rFonts w:ascii="Arial" w:hAnsi="Arial" w:cs="Arial"/>
          <w:szCs w:val="22"/>
        </w:rPr>
        <w:t>6</w:t>
      </w:r>
      <w:r w:rsidRPr="003B4863">
        <w:rPr>
          <w:rFonts w:ascii="Arial" w:hAnsi="Arial" w:cs="Arial"/>
          <w:szCs w:val="22"/>
        </w:rPr>
        <w:t xml:space="preserve"> год</w:t>
      </w:r>
      <w:r w:rsidR="00CC3E95" w:rsidRPr="003B4863">
        <w:rPr>
          <w:rFonts w:ascii="Arial" w:hAnsi="Arial" w:cs="Arial"/>
          <w:szCs w:val="22"/>
        </w:rPr>
        <w:t>а</w:t>
      </w:r>
      <w:r w:rsidRPr="003B4863">
        <w:rPr>
          <w:rFonts w:ascii="Arial" w:hAnsi="Arial" w:cs="Arial"/>
          <w:szCs w:val="22"/>
        </w:rPr>
        <w:t xml:space="preserve"> </w:t>
      </w:r>
      <w:r w:rsidR="00CC3E95" w:rsidRPr="003B4863">
        <w:rPr>
          <w:rFonts w:ascii="Arial" w:hAnsi="Arial" w:cs="Arial"/>
          <w:szCs w:val="22"/>
        </w:rPr>
        <w:t>для подготовки проведения</w:t>
      </w:r>
      <w:r w:rsidRPr="003B4863">
        <w:rPr>
          <w:rFonts w:ascii="Arial" w:hAnsi="Arial" w:cs="Arial"/>
          <w:szCs w:val="22"/>
        </w:rPr>
        <w:t xml:space="preserve"> </w:t>
      </w:r>
      <w:r w:rsidR="00117B69" w:rsidRPr="003B4863">
        <w:rPr>
          <w:rFonts w:ascii="Arial" w:hAnsi="Arial" w:cs="Arial"/>
          <w:szCs w:val="22"/>
        </w:rPr>
        <w:t>капитального ремонта</w:t>
      </w:r>
      <w:r w:rsidRPr="003B4863">
        <w:rPr>
          <w:rFonts w:ascii="Arial" w:hAnsi="Arial" w:cs="Arial"/>
          <w:szCs w:val="22"/>
        </w:rPr>
        <w:t>.</w:t>
      </w:r>
      <w:r w:rsidR="007D7E8F" w:rsidRPr="003B4863">
        <w:rPr>
          <w:rFonts w:ascii="Arial" w:hAnsi="Arial" w:cs="Arial"/>
          <w:szCs w:val="22"/>
        </w:rPr>
        <w:t xml:space="preserve"> </w:t>
      </w:r>
      <w:r w:rsidRPr="003B4863">
        <w:rPr>
          <w:rFonts w:ascii="Arial" w:hAnsi="Arial" w:cs="Arial"/>
          <w:szCs w:val="22"/>
        </w:rPr>
        <w:t>Доменная печь №2 выплавляет ферромарганец.</w:t>
      </w:r>
      <w:r w:rsidR="007D7E8F" w:rsidRPr="003B4863">
        <w:rPr>
          <w:rFonts w:ascii="Arial" w:hAnsi="Arial" w:cs="Arial"/>
          <w:szCs w:val="22"/>
        </w:rPr>
        <w:t xml:space="preserve"> </w:t>
      </w:r>
      <w:r w:rsidRPr="003B4863">
        <w:rPr>
          <w:rFonts w:ascii="Arial" w:hAnsi="Arial" w:cs="Arial"/>
          <w:szCs w:val="22"/>
        </w:rPr>
        <w:t xml:space="preserve">В </w:t>
      </w:r>
      <w:r w:rsidR="00E90147" w:rsidRPr="003B4863">
        <w:rPr>
          <w:rFonts w:ascii="Arial" w:hAnsi="Arial" w:cs="Arial"/>
          <w:szCs w:val="22"/>
        </w:rPr>
        <w:t xml:space="preserve">период с января по август </w:t>
      </w:r>
      <w:r w:rsidRPr="003B4863">
        <w:rPr>
          <w:rFonts w:ascii="Arial" w:hAnsi="Arial" w:cs="Arial"/>
          <w:szCs w:val="22"/>
        </w:rPr>
        <w:t>20</w:t>
      </w:r>
      <w:r w:rsidR="00B903B7" w:rsidRPr="003B4863">
        <w:rPr>
          <w:rFonts w:ascii="Arial" w:hAnsi="Arial" w:cs="Arial"/>
          <w:szCs w:val="22"/>
        </w:rPr>
        <w:t>2</w:t>
      </w:r>
      <w:r w:rsidR="00E90147" w:rsidRPr="003B4863">
        <w:rPr>
          <w:rFonts w:ascii="Arial" w:hAnsi="Arial" w:cs="Arial"/>
          <w:szCs w:val="22"/>
        </w:rPr>
        <w:t>1</w:t>
      </w:r>
      <w:r w:rsidRPr="003B4863">
        <w:rPr>
          <w:rFonts w:ascii="Arial" w:hAnsi="Arial" w:cs="Arial"/>
          <w:szCs w:val="22"/>
        </w:rPr>
        <w:t xml:space="preserve"> год</w:t>
      </w:r>
      <w:r w:rsidR="00CC3E95" w:rsidRPr="003B4863">
        <w:rPr>
          <w:rFonts w:ascii="Arial" w:hAnsi="Arial" w:cs="Arial"/>
          <w:szCs w:val="22"/>
        </w:rPr>
        <w:t>а</w:t>
      </w:r>
      <w:r w:rsidRPr="003B4863">
        <w:rPr>
          <w:rFonts w:ascii="Arial" w:hAnsi="Arial" w:cs="Arial"/>
          <w:szCs w:val="22"/>
        </w:rPr>
        <w:t xml:space="preserve"> доменная печь №3 производила литейный и</w:t>
      </w:r>
      <w:r w:rsidR="00B903B7" w:rsidRPr="003B4863">
        <w:rPr>
          <w:rFonts w:ascii="Arial" w:hAnsi="Arial" w:cs="Arial"/>
          <w:szCs w:val="22"/>
        </w:rPr>
        <w:t xml:space="preserve"> передельный чугуны</w:t>
      </w:r>
      <w:r w:rsidR="00E90147" w:rsidRPr="003B4863">
        <w:rPr>
          <w:rFonts w:ascii="Arial" w:hAnsi="Arial" w:cs="Arial"/>
          <w:szCs w:val="22"/>
        </w:rPr>
        <w:t xml:space="preserve">, </w:t>
      </w:r>
      <w:r w:rsidR="00DD1500" w:rsidRPr="003B4863">
        <w:rPr>
          <w:rFonts w:ascii="Arial" w:hAnsi="Arial" w:cs="Arial"/>
          <w:szCs w:val="22"/>
        </w:rPr>
        <w:t xml:space="preserve">с 27 </w:t>
      </w:r>
      <w:r w:rsidR="00E90147" w:rsidRPr="003B4863">
        <w:rPr>
          <w:rFonts w:ascii="Arial" w:hAnsi="Arial" w:cs="Arial"/>
          <w:szCs w:val="22"/>
        </w:rPr>
        <w:t>августа</w:t>
      </w:r>
      <w:r w:rsidR="00DD1500" w:rsidRPr="003B4863">
        <w:rPr>
          <w:rFonts w:ascii="Arial" w:hAnsi="Arial" w:cs="Arial"/>
          <w:szCs w:val="22"/>
        </w:rPr>
        <w:t xml:space="preserve"> 2021 года по 5 ноября 2021 года на Доменной печи №3 осуществлялся выпуск ферромарганца, </w:t>
      </w:r>
      <w:r w:rsidR="00CA521B">
        <w:rPr>
          <w:rFonts w:ascii="Arial" w:hAnsi="Arial" w:cs="Arial"/>
          <w:szCs w:val="22"/>
        </w:rPr>
        <w:t xml:space="preserve">с </w:t>
      </w:r>
      <w:r w:rsidR="00DD1500" w:rsidRPr="003B4863">
        <w:rPr>
          <w:rFonts w:ascii="Arial" w:hAnsi="Arial" w:cs="Arial"/>
          <w:szCs w:val="22"/>
        </w:rPr>
        <w:t>6 ноября 2021 года Доменная печь №3 выплавляла литейный и передельный чугуны</w:t>
      </w:r>
      <w:r w:rsidR="00E90147" w:rsidRPr="003B4863">
        <w:rPr>
          <w:rFonts w:ascii="Arial" w:hAnsi="Arial" w:cs="Arial"/>
          <w:szCs w:val="22"/>
        </w:rPr>
        <w:t>.</w:t>
      </w:r>
    </w:p>
    <w:p w:rsidR="004215D3" w:rsidRPr="009274A2" w:rsidRDefault="004215D3" w:rsidP="00F01731">
      <w:pPr>
        <w:pStyle w:val="a9"/>
        <w:spacing w:before="120"/>
        <w:ind w:firstLine="709"/>
        <w:rPr>
          <w:rFonts w:ascii="Arial" w:hAnsi="Arial" w:cs="Arial"/>
          <w:szCs w:val="22"/>
        </w:rPr>
      </w:pPr>
      <w:r w:rsidRPr="009274A2">
        <w:rPr>
          <w:rFonts w:ascii="Arial" w:hAnsi="Arial" w:cs="Arial"/>
          <w:szCs w:val="22"/>
        </w:rPr>
        <w:t>Вспомогательное производство завода представлено следующими цехами:</w:t>
      </w:r>
    </w:p>
    <w:p w:rsidR="004215D3" w:rsidRPr="009274A2" w:rsidRDefault="004215D3" w:rsidP="004215D3">
      <w:pPr>
        <w:pStyle w:val="a9"/>
        <w:numPr>
          <w:ilvl w:val="0"/>
          <w:numId w:val="2"/>
        </w:numPr>
        <w:suppressAutoHyphens/>
        <w:spacing w:before="120"/>
        <w:ind w:left="0" w:firstLine="0"/>
        <w:jc w:val="both"/>
        <w:rPr>
          <w:rFonts w:ascii="Arial" w:hAnsi="Arial" w:cs="Arial"/>
          <w:szCs w:val="22"/>
        </w:rPr>
      </w:pPr>
      <w:r w:rsidRPr="009274A2">
        <w:rPr>
          <w:rFonts w:ascii="Arial" w:hAnsi="Arial" w:cs="Arial"/>
          <w:szCs w:val="22"/>
        </w:rPr>
        <w:t xml:space="preserve">ТЭЦ-ПВС (теплоэлектроцентраль, паровоздушная станция) вырабатывает теплоэнергию,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г. Тулы. Выработка тепла составляет ~1 млн. Гкал/год. </w:t>
      </w:r>
      <w:r w:rsidR="0088665C" w:rsidRPr="009274A2">
        <w:rPr>
          <w:rFonts w:ascii="Arial" w:hAnsi="Arial" w:cs="Arial"/>
          <w:szCs w:val="22"/>
        </w:rPr>
        <w:t>ТЭЦ-ПВС полностью обеспечивает предприятие электроэнергией.</w:t>
      </w:r>
    </w:p>
    <w:p w:rsidR="004215D3" w:rsidRPr="009274A2" w:rsidRDefault="009C5523" w:rsidP="004215D3">
      <w:pPr>
        <w:pStyle w:val="a9"/>
        <w:numPr>
          <w:ilvl w:val="0"/>
          <w:numId w:val="2"/>
        </w:numPr>
        <w:suppressAutoHyphens/>
        <w:spacing w:before="120"/>
        <w:ind w:left="0" w:firstLine="0"/>
        <w:jc w:val="both"/>
        <w:rPr>
          <w:rFonts w:ascii="Arial" w:hAnsi="Arial" w:cs="Arial"/>
          <w:sz w:val="10"/>
          <w:szCs w:val="22"/>
        </w:rPr>
      </w:pPr>
      <w:r>
        <w:rPr>
          <w:rFonts w:ascii="Arial" w:hAnsi="Arial" w:cs="Arial"/>
          <w:szCs w:val="22"/>
        </w:rPr>
        <w:t>Литейный цех</w:t>
      </w:r>
      <w:r w:rsidR="00ED4C26">
        <w:rPr>
          <w:rFonts w:ascii="Arial" w:hAnsi="Arial" w:cs="Arial"/>
          <w:szCs w:val="22"/>
        </w:rPr>
        <w:t xml:space="preserve"> </w:t>
      </w:r>
      <w:r w:rsidR="00044980" w:rsidRPr="009274A2">
        <w:rPr>
          <w:rFonts w:ascii="Arial" w:hAnsi="Arial" w:cs="Arial"/>
          <w:szCs w:val="22"/>
        </w:rPr>
        <w:t>осуществляет переплав отсева ферромарганца, который образуется при производстве дроблёного ферромарганца, а также</w:t>
      </w:r>
      <w:r w:rsidR="004215D3" w:rsidRPr="009274A2">
        <w:rPr>
          <w:rFonts w:ascii="Arial" w:hAnsi="Arial" w:cs="Arial"/>
          <w:szCs w:val="22"/>
        </w:rPr>
        <w:t xml:space="preserve"> производит чугунное промышленное</w:t>
      </w:r>
      <w:r w:rsidR="00044980" w:rsidRPr="009274A2">
        <w:rPr>
          <w:rFonts w:ascii="Arial" w:hAnsi="Arial" w:cs="Arial"/>
          <w:szCs w:val="22"/>
        </w:rPr>
        <w:t xml:space="preserve"> и</w:t>
      </w:r>
      <w:r w:rsidR="004215D3" w:rsidRPr="009274A2">
        <w:rPr>
          <w:rFonts w:ascii="Arial" w:hAnsi="Arial" w:cs="Arial"/>
          <w:szCs w:val="22"/>
        </w:rPr>
        <w:t xml:space="preserve"> художественное литье, монументы, памятники, ограды, скамейки, в том числе и по частным проектам.</w:t>
      </w:r>
      <w:r w:rsidR="00044980" w:rsidRPr="009274A2">
        <w:rPr>
          <w:rFonts w:ascii="Arial" w:hAnsi="Arial" w:cs="Arial"/>
          <w:szCs w:val="22"/>
        </w:rPr>
        <w:t xml:space="preserve"> </w:t>
      </w:r>
      <w:r>
        <w:rPr>
          <w:rFonts w:ascii="Arial" w:hAnsi="Arial" w:cs="Arial"/>
          <w:szCs w:val="22"/>
        </w:rPr>
        <w:t>Цех</w:t>
      </w:r>
      <w:r w:rsidR="00044980" w:rsidRPr="009274A2">
        <w:rPr>
          <w:rFonts w:ascii="Arial" w:hAnsi="Arial" w:cs="Arial"/>
          <w:szCs w:val="22"/>
        </w:rPr>
        <w:t xml:space="preserve"> обеспечивает потребности ПАО «КМЗ» в литейной продукции и выполняет заказы сторонних заказчиков.</w:t>
      </w:r>
    </w:p>
    <w:p w:rsidR="004215D3" w:rsidRPr="009274A2" w:rsidRDefault="004215D3" w:rsidP="004215D3">
      <w:pPr>
        <w:pStyle w:val="a9"/>
        <w:numPr>
          <w:ilvl w:val="0"/>
          <w:numId w:val="2"/>
        </w:numPr>
        <w:suppressAutoHyphens/>
        <w:spacing w:before="120"/>
        <w:ind w:left="0" w:firstLine="0"/>
        <w:jc w:val="both"/>
        <w:rPr>
          <w:rFonts w:ascii="Arial" w:hAnsi="Arial" w:cs="Arial"/>
          <w:i/>
          <w:sz w:val="28"/>
        </w:rPr>
      </w:pPr>
      <w:r w:rsidRPr="009274A2">
        <w:rPr>
          <w:rFonts w:ascii="Arial" w:hAnsi="Arial" w:cs="Arial"/>
          <w:szCs w:val="22"/>
        </w:rPr>
        <w:t>Цех по переработке вторичных материалов осуществляет разработку и дальнейшую переработку отходов доменного производства (шлаки, доменная пыль, шламы), которые используются для производства строительных материалов. Цех выпускает недробленый доменный шлак, щебень шлаковый нескольких фракций.</w:t>
      </w:r>
    </w:p>
    <w:p w:rsidR="00710800" w:rsidRPr="005D7F45" w:rsidRDefault="008A177F" w:rsidP="005127DD">
      <w:pPr>
        <w:pStyle w:val="2"/>
        <w:spacing w:before="120" w:after="120"/>
        <w:rPr>
          <w:rFonts w:ascii="Arial" w:hAnsi="Arial" w:cs="Arial"/>
          <w:bCs w:val="0"/>
          <w:iCs/>
        </w:rPr>
      </w:pPr>
      <w:r w:rsidRPr="009274A2">
        <w:rPr>
          <w:rFonts w:ascii="Arial" w:hAnsi="Arial" w:cs="Arial"/>
          <w:szCs w:val="22"/>
        </w:rPr>
        <w:br w:type="page"/>
      </w:r>
      <w:bookmarkStart w:id="6" w:name="_Toc415487667"/>
    </w:p>
    <w:p w:rsidR="00FE4FD7" w:rsidRPr="00235C58" w:rsidRDefault="00FE4FD7" w:rsidP="00D05A3D">
      <w:pPr>
        <w:pStyle w:val="2"/>
        <w:spacing w:before="120" w:after="120"/>
        <w:ind w:firstLine="567"/>
        <w:rPr>
          <w:rFonts w:ascii="Arial" w:hAnsi="Arial" w:cs="Arial"/>
          <w:i/>
          <w:color w:val="auto"/>
          <w:sz w:val="28"/>
        </w:rPr>
      </w:pPr>
      <w:bookmarkStart w:id="7" w:name="_Toc100678736"/>
      <w:r w:rsidRPr="00247CA6">
        <w:rPr>
          <w:rFonts w:ascii="Arial" w:hAnsi="Arial" w:cs="Arial"/>
          <w:i/>
          <w:color w:val="auto"/>
          <w:sz w:val="28"/>
        </w:rPr>
        <w:lastRenderedPageBreak/>
        <w:t xml:space="preserve">Позиции </w:t>
      </w:r>
      <w:r w:rsidR="005860C4" w:rsidRPr="00247CA6">
        <w:rPr>
          <w:rFonts w:ascii="Arial" w:hAnsi="Arial" w:cs="Arial"/>
          <w:i/>
          <w:color w:val="auto"/>
          <w:sz w:val="28"/>
        </w:rPr>
        <w:t>П</w:t>
      </w:r>
      <w:r w:rsidRPr="00247CA6">
        <w:rPr>
          <w:rFonts w:ascii="Arial" w:hAnsi="Arial" w:cs="Arial"/>
          <w:i/>
          <w:color w:val="auto"/>
          <w:sz w:val="28"/>
        </w:rPr>
        <w:t>АО «КМЗ» на рынке чугуна и ферромарганца</w:t>
      </w:r>
      <w:bookmarkEnd w:id="6"/>
      <w:bookmarkEnd w:id="7"/>
    </w:p>
    <w:p w:rsidR="00C66944" w:rsidRPr="00A53D9E" w:rsidRDefault="00C66944" w:rsidP="00530215">
      <w:pPr>
        <w:pStyle w:val="3"/>
        <w:spacing w:before="120" w:after="120"/>
        <w:rPr>
          <w:rFonts w:ascii="Arial" w:hAnsi="Arial" w:cs="Arial"/>
          <w:b w:val="0"/>
          <w:i/>
          <w:color w:val="auto"/>
          <w:sz w:val="28"/>
        </w:rPr>
      </w:pPr>
      <w:bookmarkStart w:id="8" w:name="_Toc415487668"/>
      <w:bookmarkStart w:id="9" w:name="_Toc100678737"/>
      <w:r w:rsidRPr="005C130F">
        <w:rPr>
          <w:rFonts w:ascii="Arial" w:hAnsi="Arial" w:cs="Arial"/>
          <w:b w:val="0"/>
          <w:i/>
          <w:color w:val="auto"/>
          <w:sz w:val="28"/>
        </w:rPr>
        <w:t xml:space="preserve">Позиции </w:t>
      </w:r>
      <w:r w:rsidR="007B46DE" w:rsidRPr="005C130F">
        <w:rPr>
          <w:rFonts w:ascii="Arial" w:hAnsi="Arial" w:cs="Arial"/>
          <w:b w:val="0"/>
          <w:i/>
          <w:color w:val="auto"/>
          <w:sz w:val="28"/>
        </w:rPr>
        <w:t>П</w:t>
      </w:r>
      <w:r w:rsidRPr="005C130F">
        <w:rPr>
          <w:rFonts w:ascii="Arial" w:hAnsi="Arial" w:cs="Arial"/>
          <w:b w:val="0"/>
          <w:i/>
          <w:color w:val="auto"/>
          <w:sz w:val="28"/>
        </w:rPr>
        <w:t>АО «КМЗ» на рынке чугуна</w:t>
      </w:r>
      <w:bookmarkEnd w:id="8"/>
      <w:bookmarkEnd w:id="9"/>
    </w:p>
    <w:p w:rsidR="0008452A" w:rsidRPr="00855876" w:rsidRDefault="0008452A" w:rsidP="0008452A">
      <w:pPr>
        <w:spacing w:before="120" w:after="120"/>
        <w:ind w:firstLine="709"/>
        <w:jc w:val="both"/>
        <w:rPr>
          <w:rFonts w:ascii="Arial" w:hAnsi="Arial" w:cs="Arial"/>
        </w:rPr>
      </w:pPr>
      <w:bookmarkStart w:id="10" w:name="OLE_LINK1"/>
      <w:bookmarkStart w:id="11" w:name="_Toc415487669"/>
      <w:r w:rsidRPr="00855876">
        <w:rPr>
          <w:rFonts w:ascii="Arial" w:hAnsi="Arial" w:cs="Arial"/>
        </w:rPr>
        <w:t>На сегодняшний день на территории РФ существует 9 заводов-производителей товарного чугуна. По объемам поставок лидируют ПАО «Тулачермет», ПАО «КМЗ», АО «Уральская Сталь»,  ПАО «ЧМК» (</w:t>
      </w:r>
      <w:r w:rsidR="005C130F">
        <w:rPr>
          <w:rFonts w:ascii="Arial" w:hAnsi="Arial" w:cs="Arial"/>
        </w:rPr>
        <w:t>«</w:t>
      </w:r>
      <w:r w:rsidRPr="00855876">
        <w:rPr>
          <w:rFonts w:ascii="Arial" w:hAnsi="Arial" w:cs="Arial"/>
        </w:rPr>
        <w:t>Мечел</w:t>
      </w:r>
      <w:r w:rsidR="005C130F">
        <w:rPr>
          <w:rFonts w:ascii="Arial" w:hAnsi="Arial" w:cs="Arial"/>
        </w:rPr>
        <w:t>»</w:t>
      </w:r>
      <w:r w:rsidRPr="00855876">
        <w:rPr>
          <w:rFonts w:ascii="Arial" w:hAnsi="Arial" w:cs="Arial"/>
        </w:rPr>
        <w:t>)</w:t>
      </w:r>
      <w:r>
        <w:rPr>
          <w:rFonts w:ascii="Arial" w:hAnsi="Arial" w:cs="Arial"/>
        </w:rPr>
        <w:t xml:space="preserve"> и ПАО «НЛМК».</w:t>
      </w:r>
    </w:p>
    <w:p w:rsidR="0008452A" w:rsidRPr="003109C4" w:rsidRDefault="0008452A" w:rsidP="0008452A">
      <w:pPr>
        <w:spacing w:before="120" w:after="120"/>
        <w:ind w:firstLine="709"/>
        <w:jc w:val="both"/>
        <w:rPr>
          <w:rFonts w:ascii="Arial" w:hAnsi="Arial" w:cs="Arial"/>
        </w:rPr>
      </w:pPr>
      <w:r>
        <w:rPr>
          <w:rFonts w:ascii="Arial" w:hAnsi="Arial" w:cs="Arial"/>
        </w:rPr>
        <w:t>За 12 месяцев 2021</w:t>
      </w:r>
      <w:r w:rsidRPr="003109C4">
        <w:rPr>
          <w:rFonts w:ascii="Arial" w:hAnsi="Arial" w:cs="Arial"/>
        </w:rPr>
        <w:t xml:space="preserve"> года российскими производителями товарного чугуна всего было </w:t>
      </w:r>
      <w:r>
        <w:rPr>
          <w:rFonts w:ascii="Arial" w:hAnsi="Arial" w:cs="Arial"/>
        </w:rPr>
        <w:t>реализовано 4 644,5</w:t>
      </w:r>
      <w:r w:rsidRPr="00C86C02">
        <w:rPr>
          <w:rFonts w:ascii="Arial" w:hAnsi="Arial" w:cs="Arial"/>
        </w:rPr>
        <w:t xml:space="preserve"> тыс.</w:t>
      </w:r>
      <w:r w:rsidRPr="003109C4">
        <w:rPr>
          <w:rFonts w:ascii="Arial" w:hAnsi="Arial" w:cs="Arial"/>
        </w:rPr>
        <w:t xml:space="preserve"> тонн продукции. </w:t>
      </w:r>
      <w:r w:rsidRPr="007F430E">
        <w:rPr>
          <w:rFonts w:ascii="Arial" w:hAnsi="Arial" w:cs="Arial"/>
        </w:rPr>
        <w:t>На внутренни</w:t>
      </w:r>
      <w:r>
        <w:rPr>
          <w:rFonts w:ascii="Arial" w:hAnsi="Arial" w:cs="Arial"/>
        </w:rPr>
        <w:t>й рынок России было поставлено 665,9</w:t>
      </w:r>
      <w:r w:rsidRPr="007F430E">
        <w:rPr>
          <w:rFonts w:ascii="Arial" w:hAnsi="Arial" w:cs="Arial"/>
        </w:rPr>
        <w:t xml:space="preserve"> тыс. тонн, экспортировано – </w:t>
      </w:r>
      <w:r>
        <w:rPr>
          <w:rFonts w:ascii="Arial" w:hAnsi="Arial" w:cs="Arial"/>
        </w:rPr>
        <w:t>3 978,6</w:t>
      </w:r>
      <w:r w:rsidRPr="00C86C02">
        <w:rPr>
          <w:rFonts w:ascii="Arial" w:hAnsi="Arial" w:cs="Arial"/>
        </w:rPr>
        <w:t xml:space="preserve"> </w:t>
      </w:r>
      <w:r w:rsidRPr="003109C4">
        <w:rPr>
          <w:rFonts w:ascii="Arial" w:hAnsi="Arial" w:cs="Arial"/>
        </w:rPr>
        <w:t xml:space="preserve">тыс. тонн. </w:t>
      </w:r>
    </w:p>
    <w:p w:rsidR="0008452A" w:rsidRPr="00B145CD" w:rsidRDefault="0008452A" w:rsidP="0008452A">
      <w:pPr>
        <w:pStyle w:val="ab"/>
        <w:spacing w:before="120" w:after="120"/>
        <w:ind w:firstLine="709"/>
        <w:jc w:val="both"/>
        <w:rPr>
          <w:rFonts w:ascii="Arial" w:eastAsiaTheme="minorHAnsi" w:hAnsi="Arial" w:cs="Arial"/>
          <w:sz w:val="22"/>
          <w:szCs w:val="22"/>
          <w:lang w:eastAsia="en-US"/>
        </w:rPr>
      </w:pPr>
      <w:r w:rsidRPr="00B145CD">
        <w:rPr>
          <w:rFonts w:ascii="Arial" w:eastAsiaTheme="minorHAnsi" w:hAnsi="Arial" w:cs="Arial"/>
          <w:sz w:val="22"/>
          <w:szCs w:val="22"/>
          <w:lang w:eastAsia="en-US"/>
        </w:rPr>
        <w:t xml:space="preserve">В 2021 году объем рынка чугуна РФ и стран СНГ составил </w:t>
      </w:r>
      <w:r>
        <w:rPr>
          <w:rFonts w:ascii="Arial" w:eastAsiaTheme="minorHAnsi" w:hAnsi="Arial" w:cs="Arial"/>
          <w:sz w:val="22"/>
          <w:szCs w:val="22"/>
          <w:lang w:eastAsia="en-US"/>
        </w:rPr>
        <w:t>665,9</w:t>
      </w:r>
      <w:r w:rsidRPr="00B145CD">
        <w:rPr>
          <w:rFonts w:ascii="Arial" w:eastAsiaTheme="minorHAnsi" w:hAnsi="Arial" w:cs="Arial"/>
          <w:sz w:val="22"/>
          <w:szCs w:val="22"/>
          <w:lang w:eastAsia="en-US"/>
        </w:rPr>
        <w:t xml:space="preserve"> тыс. тонн. Крупнейшие потребители товарного чугуна в РФ и СНГ в 202</w:t>
      </w:r>
      <w:r w:rsidR="00197C3C">
        <w:rPr>
          <w:rFonts w:ascii="Arial" w:eastAsiaTheme="minorHAnsi" w:hAnsi="Arial" w:cs="Arial"/>
          <w:sz w:val="22"/>
          <w:szCs w:val="22"/>
          <w:lang w:eastAsia="en-US"/>
        </w:rPr>
        <w:t>1</w:t>
      </w:r>
      <w:r w:rsidRPr="00B145CD">
        <w:rPr>
          <w:rFonts w:ascii="Arial" w:eastAsiaTheme="minorHAnsi" w:hAnsi="Arial" w:cs="Arial"/>
          <w:sz w:val="22"/>
          <w:szCs w:val="22"/>
          <w:lang w:eastAsia="en-US"/>
        </w:rPr>
        <w:t xml:space="preserve"> году представлены в таблице </w:t>
      </w:r>
      <w:r w:rsidR="00DB1F86">
        <w:rPr>
          <w:rFonts w:ascii="Arial" w:eastAsiaTheme="minorHAnsi" w:hAnsi="Arial" w:cs="Arial"/>
          <w:sz w:val="22"/>
          <w:szCs w:val="22"/>
          <w:lang w:eastAsia="en-US"/>
        </w:rPr>
        <w:t>1</w:t>
      </w:r>
      <w:r w:rsidRPr="00B145CD">
        <w:rPr>
          <w:rFonts w:ascii="Arial" w:eastAsiaTheme="minorHAnsi" w:hAnsi="Arial" w:cs="Arial"/>
          <w:sz w:val="22"/>
          <w:szCs w:val="22"/>
          <w:lang w:eastAsia="en-US"/>
        </w:rPr>
        <w:t>.</w:t>
      </w:r>
    </w:p>
    <w:p w:rsidR="0008452A" w:rsidRDefault="00E75D32" w:rsidP="00E75D32">
      <w:pPr>
        <w:pStyle w:val="ab"/>
        <w:spacing w:before="120" w:after="120"/>
        <w:ind w:hanging="45"/>
        <w:jc w:val="center"/>
        <w:rPr>
          <w:rFonts w:ascii="Arial" w:hAnsi="Arial" w:cs="Arial"/>
          <w:i/>
          <w:szCs w:val="22"/>
        </w:rPr>
      </w:pPr>
      <w:r w:rsidRPr="00D93BEB">
        <w:rPr>
          <w:rFonts w:ascii="Arial" w:hAnsi="Arial" w:cs="Arial"/>
          <w:i/>
          <w:szCs w:val="22"/>
        </w:rPr>
        <w:t xml:space="preserve">Таблица </w:t>
      </w:r>
      <w:r w:rsidR="00DB1F86">
        <w:rPr>
          <w:rFonts w:ascii="Arial" w:hAnsi="Arial" w:cs="Arial"/>
          <w:i/>
          <w:szCs w:val="22"/>
        </w:rPr>
        <w:t>1</w:t>
      </w:r>
      <w:r w:rsidRPr="00D93BEB">
        <w:rPr>
          <w:rFonts w:ascii="Arial" w:hAnsi="Arial" w:cs="Arial"/>
          <w:i/>
          <w:szCs w:val="22"/>
        </w:rPr>
        <w:t xml:space="preserve">. Крупнейшие потребители товарного чугуна в </w:t>
      </w:r>
      <w:r w:rsidR="0008452A">
        <w:rPr>
          <w:rFonts w:ascii="Arial" w:hAnsi="Arial" w:cs="Arial"/>
          <w:i/>
          <w:szCs w:val="22"/>
        </w:rPr>
        <w:t>2021 году</w:t>
      </w:r>
    </w:p>
    <w:tbl>
      <w:tblPr>
        <w:tblW w:w="8580" w:type="dxa"/>
        <w:jc w:val="center"/>
        <w:tblLook w:val="04A0"/>
      </w:tblPr>
      <w:tblGrid>
        <w:gridCol w:w="5600"/>
        <w:gridCol w:w="2020"/>
        <w:gridCol w:w="960"/>
      </w:tblGrid>
      <w:tr w:rsidR="0008452A" w:rsidRPr="0008452A" w:rsidTr="0008452A">
        <w:trPr>
          <w:trHeight w:val="315"/>
          <w:jc w:val="center"/>
        </w:trPr>
        <w:tc>
          <w:tcPr>
            <w:tcW w:w="5600"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rsidR="0008452A" w:rsidRPr="0008452A" w:rsidRDefault="0008452A" w:rsidP="0008452A">
            <w:pPr>
              <w:jc w:val="center"/>
              <w:rPr>
                <w:rFonts w:ascii="Arial" w:hAnsi="Arial" w:cs="Arial"/>
                <w:b/>
                <w:bCs/>
                <w:color w:val="000000"/>
                <w:sz w:val="20"/>
                <w:szCs w:val="20"/>
              </w:rPr>
            </w:pPr>
            <w:r w:rsidRPr="0008452A">
              <w:rPr>
                <w:rFonts w:ascii="Arial" w:hAnsi="Arial" w:cs="Arial"/>
                <w:b/>
                <w:bCs/>
                <w:color w:val="000000"/>
                <w:sz w:val="20"/>
                <w:szCs w:val="20"/>
              </w:rPr>
              <w:t>Контрагент</w:t>
            </w:r>
          </w:p>
        </w:tc>
        <w:tc>
          <w:tcPr>
            <w:tcW w:w="2980" w:type="dxa"/>
            <w:gridSpan w:val="2"/>
            <w:tcBorders>
              <w:top w:val="single" w:sz="8" w:space="0" w:color="auto"/>
              <w:left w:val="nil"/>
              <w:bottom w:val="single" w:sz="8" w:space="0" w:color="auto"/>
              <w:right w:val="single" w:sz="8" w:space="0" w:color="000000"/>
            </w:tcBorders>
            <w:shd w:val="clear" w:color="000000" w:fill="C6D9F1"/>
            <w:vAlign w:val="center"/>
            <w:hideMark/>
          </w:tcPr>
          <w:p w:rsidR="0008452A" w:rsidRPr="0008452A" w:rsidRDefault="0008452A" w:rsidP="0008452A">
            <w:pPr>
              <w:jc w:val="center"/>
              <w:rPr>
                <w:rFonts w:ascii="Arial" w:hAnsi="Arial" w:cs="Arial"/>
                <w:b/>
                <w:bCs/>
                <w:color w:val="000000"/>
                <w:sz w:val="20"/>
                <w:szCs w:val="20"/>
              </w:rPr>
            </w:pPr>
            <w:r w:rsidRPr="004035EF">
              <w:rPr>
                <w:rFonts w:ascii="Arial" w:hAnsi="Arial" w:cs="Arial"/>
                <w:b/>
                <w:bCs/>
                <w:color w:val="000000"/>
                <w:sz w:val="20"/>
                <w:szCs w:val="20"/>
              </w:rPr>
              <w:t>Отгрузка</w:t>
            </w:r>
          </w:p>
        </w:tc>
      </w:tr>
      <w:tr w:rsidR="0008452A" w:rsidRPr="0008452A" w:rsidTr="0008452A">
        <w:trPr>
          <w:trHeight w:val="315"/>
          <w:jc w:val="center"/>
        </w:trPr>
        <w:tc>
          <w:tcPr>
            <w:tcW w:w="5600" w:type="dxa"/>
            <w:vMerge/>
            <w:tcBorders>
              <w:top w:val="single" w:sz="8" w:space="0" w:color="auto"/>
              <w:left w:val="single" w:sz="8" w:space="0" w:color="auto"/>
              <w:bottom w:val="single" w:sz="8" w:space="0" w:color="000000"/>
              <w:right w:val="single" w:sz="8" w:space="0" w:color="auto"/>
            </w:tcBorders>
            <w:vAlign w:val="center"/>
            <w:hideMark/>
          </w:tcPr>
          <w:p w:rsidR="0008452A" w:rsidRPr="0008452A" w:rsidRDefault="0008452A" w:rsidP="0008452A">
            <w:pPr>
              <w:rPr>
                <w:rFonts w:ascii="Arial" w:hAnsi="Arial" w:cs="Arial"/>
                <w:b/>
                <w:bCs/>
                <w:color w:val="000000"/>
                <w:sz w:val="20"/>
                <w:szCs w:val="20"/>
              </w:rPr>
            </w:pPr>
          </w:p>
        </w:tc>
        <w:tc>
          <w:tcPr>
            <w:tcW w:w="2020" w:type="dxa"/>
            <w:tcBorders>
              <w:top w:val="nil"/>
              <w:left w:val="nil"/>
              <w:bottom w:val="single" w:sz="8" w:space="0" w:color="auto"/>
              <w:right w:val="single" w:sz="8" w:space="0" w:color="auto"/>
            </w:tcBorders>
            <w:shd w:val="clear" w:color="000000" w:fill="C6D9F1"/>
            <w:vAlign w:val="center"/>
            <w:hideMark/>
          </w:tcPr>
          <w:p w:rsidR="0008452A" w:rsidRPr="0008452A" w:rsidRDefault="0008452A" w:rsidP="0008452A">
            <w:pPr>
              <w:jc w:val="center"/>
              <w:rPr>
                <w:rFonts w:ascii="Arial" w:hAnsi="Arial" w:cs="Arial"/>
                <w:b/>
                <w:bCs/>
                <w:color w:val="000000"/>
                <w:sz w:val="20"/>
                <w:szCs w:val="20"/>
              </w:rPr>
            </w:pPr>
            <w:r w:rsidRPr="0008452A">
              <w:rPr>
                <w:rFonts w:ascii="Arial" w:hAnsi="Arial" w:cs="Arial"/>
                <w:b/>
                <w:bCs/>
                <w:color w:val="000000"/>
                <w:sz w:val="20"/>
                <w:szCs w:val="20"/>
              </w:rPr>
              <w:t>т</w:t>
            </w:r>
          </w:p>
        </w:tc>
        <w:tc>
          <w:tcPr>
            <w:tcW w:w="960" w:type="dxa"/>
            <w:tcBorders>
              <w:top w:val="nil"/>
              <w:left w:val="nil"/>
              <w:bottom w:val="single" w:sz="8" w:space="0" w:color="auto"/>
              <w:right w:val="single" w:sz="8" w:space="0" w:color="auto"/>
            </w:tcBorders>
            <w:shd w:val="clear" w:color="000000" w:fill="C6D9F1"/>
            <w:vAlign w:val="center"/>
            <w:hideMark/>
          </w:tcPr>
          <w:p w:rsidR="0008452A" w:rsidRPr="0008452A" w:rsidRDefault="0008452A" w:rsidP="0008452A">
            <w:pPr>
              <w:jc w:val="center"/>
              <w:rPr>
                <w:rFonts w:ascii="Arial" w:hAnsi="Arial" w:cs="Arial"/>
                <w:b/>
                <w:bCs/>
                <w:color w:val="000000"/>
                <w:sz w:val="20"/>
                <w:szCs w:val="20"/>
              </w:rPr>
            </w:pPr>
            <w:r w:rsidRPr="0008452A">
              <w:rPr>
                <w:rFonts w:ascii="Arial" w:hAnsi="Arial" w:cs="Arial"/>
                <w:b/>
                <w:bCs/>
                <w:color w:val="000000"/>
                <w:sz w:val="20"/>
                <w:szCs w:val="20"/>
              </w:rPr>
              <w:t>%</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АО «Выксунский металлургический завод» (ОМК)</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169 219</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28,3%</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АО «НПК «Уралвагонзавод»</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36 661</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6,1%</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ОАО «Минский тракторный завод» (Беларусь)</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35 692</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6,0%</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ОАО «Белорусский металлургический завод» (Беларусь)</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29 211</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4,9%</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Группа ГАЗ</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27 717</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4,6%</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Гурьевский МЗ</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24 768</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4,1%</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ПАО «КАМАЗ»</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16 367</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2,7%</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ООО «ЛТК Свободный Сокол»</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14 971</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2,5%</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Омутнинский МЗ</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12 155</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2,0%</w:t>
            </w:r>
          </w:p>
        </w:tc>
      </w:tr>
      <w:tr w:rsidR="0008452A" w:rsidRPr="0008452A" w:rsidTr="0008452A">
        <w:trPr>
          <w:trHeight w:val="300"/>
          <w:jc w:val="center"/>
        </w:trPr>
        <w:tc>
          <w:tcPr>
            <w:tcW w:w="5600" w:type="dxa"/>
            <w:tcBorders>
              <w:top w:val="nil"/>
              <w:left w:val="single" w:sz="8" w:space="0" w:color="auto"/>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Минский автомобильный завод (МАЗ), Беларусь</w:t>
            </w:r>
          </w:p>
        </w:tc>
        <w:tc>
          <w:tcPr>
            <w:tcW w:w="202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6 028</w:t>
            </w:r>
          </w:p>
        </w:tc>
        <w:tc>
          <w:tcPr>
            <w:tcW w:w="960" w:type="dxa"/>
            <w:tcBorders>
              <w:top w:val="nil"/>
              <w:left w:val="nil"/>
              <w:bottom w:val="nil"/>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1,0%</w:t>
            </w:r>
          </w:p>
        </w:tc>
      </w:tr>
      <w:tr w:rsidR="0008452A" w:rsidRPr="0008452A" w:rsidTr="0008452A">
        <w:trPr>
          <w:trHeight w:val="315"/>
          <w:jc w:val="center"/>
        </w:trPr>
        <w:tc>
          <w:tcPr>
            <w:tcW w:w="5600" w:type="dxa"/>
            <w:tcBorders>
              <w:top w:val="nil"/>
              <w:left w:val="single" w:sz="8" w:space="0" w:color="auto"/>
              <w:bottom w:val="single" w:sz="8" w:space="0" w:color="auto"/>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Прочие</w:t>
            </w:r>
          </w:p>
        </w:tc>
        <w:tc>
          <w:tcPr>
            <w:tcW w:w="2020" w:type="dxa"/>
            <w:tcBorders>
              <w:top w:val="nil"/>
              <w:left w:val="nil"/>
              <w:bottom w:val="single" w:sz="8" w:space="0" w:color="auto"/>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225 528</w:t>
            </w:r>
          </w:p>
        </w:tc>
        <w:tc>
          <w:tcPr>
            <w:tcW w:w="960" w:type="dxa"/>
            <w:tcBorders>
              <w:top w:val="nil"/>
              <w:left w:val="nil"/>
              <w:bottom w:val="single" w:sz="8" w:space="0" w:color="auto"/>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sz w:val="20"/>
                <w:szCs w:val="20"/>
              </w:rPr>
            </w:pPr>
            <w:r w:rsidRPr="0008452A">
              <w:rPr>
                <w:rFonts w:ascii="Arial" w:hAnsi="Arial" w:cs="Arial"/>
                <w:sz w:val="20"/>
                <w:szCs w:val="20"/>
              </w:rPr>
              <w:t>37,7%</w:t>
            </w:r>
          </w:p>
        </w:tc>
      </w:tr>
      <w:tr w:rsidR="0008452A" w:rsidRPr="0008452A" w:rsidTr="0008452A">
        <w:trPr>
          <w:trHeight w:val="315"/>
          <w:jc w:val="center"/>
        </w:trPr>
        <w:tc>
          <w:tcPr>
            <w:tcW w:w="5600" w:type="dxa"/>
            <w:tcBorders>
              <w:top w:val="nil"/>
              <w:left w:val="single" w:sz="8" w:space="0" w:color="auto"/>
              <w:bottom w:val="single" w:sz="8" w:space="0" w:color="auto"/>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b/>
                <w:bCs/>
                <w:sz w:val="20"/>
                <w:szCs w:val="20"/>
              </w:rPr>
            </w:pPr>
            <w:r w:rsidRPr="0008452A">
              <w:rPr>
                <w:rFonts w:ascii="Arial" w:hAnsi="Arial" w:cs="Arial"/>
                <w:b/>
                <w:bCs/>
                <w:sz w:val="20"/>
                <w:szCs w:val="20"/>
              </w:rPr>
              <w:t>Всего отгружено</w:t>
            </w:r>
          </w:p>
        </w:tc>
        <w:tc>
          <w:tcPr>
            <w:tcW w:w="2020" w:type="dxa"/>
            <w:tcBorders>
              <w:top w:val="nil"/>
              <w:left w:val="nil"/>
              <w:bottom w:val="single" w:sz="8" w:space="0" w:color="auto"/>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b/>
                <w:bCs/>
                <w:sz w:val="20"/>
                <w:szCs w:val="20"/>
              </w:rPr>
            </w:pPr>
            <w:r w:rsidRPr="0008452A">
              <w:rPr>
                <w:rFonts w:ascii="Arial" w:hAnsi="Arial" w:cs="Arial"/>
                <w:b/>
                <w:bCs/>
                <w:sz w:val="20"/>
                <w:szCs w:val="20"/>
              </w:rPr>
              <w:t>598 317</w:t>
            </w:r>
          </w:p>
        </w:tc>
        <w:tc>
          <w:tcPr>
            <w:tcW w:w="960" w:type="dxa"/>
            <w:tcBorders>
              <w:top w:val="nil"/>
              <w:left w:val="nil"/>
              <w:bottom w:val="single" w:sz="8" w:space="0" w:color="auto"/>
              <w:right w:val="single" w:sz="8" w:space="0" w:color="auto"/>
            </w:tcBorders>
            <w:shd w:val="clear" w:color="auto" w:fill="auto"/>
            <w:noWrap/>
            <w:vAlign w:val="center"/>
            <w:hideMark/>
          </w:tcPr>
          <w:p w:rsidR="0008452A" w:rsidRPr="0008452A" w:rsidRDefault="0008452A" w:rsidP="0008452A">
            <w:pPr>
              <w:spacing w:before="120" w:after="120"/>
              <w:rPr>
                <w:rFonts w:ascii="Arial" w:hAnsi="Arial" w:cs="Arial"/>
                <w:b/>
                <w:bCs/>
                <w:sz w:val="20"/>
                <w:szCs w:val="20"/>
              </w:rPr>
            </w:pPr>
            <w:r w:rsidRPr="0008452A">
              <w:rPr>
                <w:rFonts w:ascii="Arial" w:hAnsi="Arial" w:cs="Arial"/>
                <w:b/>
                <w:bCs/>
                <w:sz w:val="20"/>
                <w:szCs w:val="20"/>
              </w:rPr>
              <w:t>100%</w:t>
            </w:r>
          </w:p>
        </w:tc>
      </w:tr>
    </w:tbl>
    <w:p w:rsidR="00D52A11" w:rsidRPr="004035EF" w:rsidRDefault="00D52A11" w:rsidP="00D52A11">
      <w:pPr>
        <w:spacing w:before="120" w:after="120"/>
        <w:ind w:firstLine="709"/>
        <w:jc w:val="both"/>
        <w:rPr>
          <w:rFonts w:ascii="Arial" w:hAnsi="Arial" w:cs="Arial"/>
          <w:bCs/>
          <w:iCs/>
        </w:rPr>
      </w:pPr>
      <w:r w:rsidRPr="004035EF">
        <w:rPr>
          <w:rFonts w:ascii="Arial" w:hAnsi="Arial" w:cs="Arial"/>
          <w:bCs/>
          <w:iCs/>
        </w:rPr>
        <w:t>За  2021 год на внутренний рынок России</w:t>
      </w:r>
      <w:r>
        <w:rPr>
          <w:rFonts w:ascii="Arial" w:hAnsi="Arial" w:cs="Arial"/>
          <w:bCs/>
          <w:iCs/>
        </w:rPr>
        <w:t xml:space="preserve">, </w:t>
      </w:r>
      <w:r w:rsidRPr="004035EF">
        <w:rPr>
          <w:rFonts w:ascii="Arial" w:hAnsi="Arial" w:cs="Arial"/>
          <w:bCs/>
          <w:iCs/>
        </w:rPr>
        <w:t xml:space="preserve">Белоруссии и стран СНГ </w:t>
      </w:r>
      <w:r w:rsidR="00855EF2" w:rsidRPr="004035EF">
        <w:rPr>
          <w:rFonts w:ascii="Arial" w:hAnsi="Arial" w:cs="Arial"/>
          <w:bCs/>
          <w:iCs/>
        </w:rPr>
        <w:t xml:space="preserve">ПАО «КМЗ» </w:t>
      </w:r>
      <w:r w:rsidRPr="004035EF">
        <w:rPr>
          <w:rFonts w:ascii="Arial" w:hAnsi="Arial" w:cs="Arial"/>
          <w:bCs/>
          <w:iCs/>
        </w:rPr>
        <w:t>отгружено 103,5 тыс. тон</w:t>
      </w:r>
      <w:r>
        <w:rPr>
          <w:rFonts w:ascii="Arial" w:hAnsi="Arial" w:cs="Arial"/>
          <w:bCs/>
          <w:iCs/>
        </w:rPr>
        <w:t>н (в т. ч. в страны СНГ – 45</w:t>
      </w:r>
      <w:r w:rsidRPr="003010B1">
        <w:rPr>
          <w:rFonts w:ascii="Arial" w:hAnsi="Arial" w:cs="Arial"/>
          <w:bCs/>
          <w:iCs/>
        </w:rPr>
        <w:t>,</w:t>
      </w:r>
      <w:r>
        <w:rPr>
          <w:rFonts w:ascii="Arial" w:hAnsi="Arial" w:cs="Arial"/>
          <w:bCs/>
          <w:iCs/>
        </w:rPr>
        <w:t>48</w:t>
      </w:r>
      <w:r w:rsidRPr="003010B1">
        <w:rPr>
          <w:rFonts w:ascii="Arial" w:hAnsi="Arial" w:cs="Arial"/>
          <w:bCs/>
          <w:iCs/>
        </w:rPr>
        <w:t xml:space="preserve"> тыс. тонн</w:t>
      </w:r>
      <w:r>
        <w:rPr>
          <w:rFonts w:ascii="Arial" w:hAnsi="Arial" w:cs="Arial"/>
          <w:bCs/>
          <w:iCs/>
        </w:rPr>
        <w:t>). Снижение по сравнению с 2020 годом связано с переходом ПАО «КМЗ» на давальческую переработку окатышей. Общий объем отгрузок</w:t>
      </w:r>
      <w:r w:rsidR="00565EA0">
        <w:rPr>
          <w:rFonts w:ascii="Arial" w:hAnsi="Arial" w:cs="Arial"/>
          <w:bCs/>
          <w:iCs/>
        </w:rPr>
        <w:t xml:space="preserve"> чугуна за 2021 год составил 235</w:t>
      </w:r>
      <w:r>
        <w:rPr>
          <w:rFonts w:ascii="Arial" w:hAnsi="Arial" w:cs="Arial"/>
          <w:bCs/>
          <w:iCs/>
        </w:rPr>
        <w:t>,</w:t>
      </w:r>
      <w:r w:rsidR="00565EA0">
        <w:rPr>
          <w:rFonts w:ascii="Arial" w:hAnsi="Arial" w:cs="Arial"/>
          <w:bCs/>
          <w:iCs/>
        </w:rPr>
        <w:t>3</w:t>
      </w:r>
      <w:r>
        <w:rPr>
          <w:rFonts w:ascii="Arial" w:hAnsi="Arial" w:cs="Arial"/>
          <w:bCs/>
          <w:iCs/>
        </w:rPr>
        <w:t xml:space="preserve"> </w:t>
      </w:r>
      <w:r w:rsidRPr="003010B1">
        <w:rPr>
          <w:rFonts w:ascii="Arial" w:hAnsi="Arial" w:cs="Arial"/>
          <w:bCs/>
          <w:iCs/>
        </w:rPr>
        <w:t>тыс. тонн</w:t>
      </w:r>
      <w:r>
        <w:rPr>
          <w:rFonts w:ascii="Arial" w:hAnsi="Arial" w:cs="Arial"/>
          <w:bCs/>
          <w:iCs/>
        </w:rPr>
        <w:t>.</w:t>
      </w:r>
    </w:p>
    <w:p w:rsidR="00912E4E" w:rsidRPr="004035EF" w:rsidRDefault="00912E4E" w:rsidP="00912E4E">
      <w:pPr>
        <w:spacing w:before="120" w:after="120"/>
        <w:ind w:firstLine="709"/>
        <w:jc w:val="both"/>
        <w:rPr>
          <w:rFonts w:ascii="Arial" w:hAnsi="Arial" w:cs="Arial"/>
          <w:bCs/>
          <w:iCs/>
        </w:rPr>
      </w:pPr>
      <w:r w:rsidRPr="004035EF">
        <w:rPr>
          <w:rFonts w:ascii="Arial" w:hAnsi="Arial" w:cs="Arial"/>
          <w:bCs/>
          <w:iCs/>
        </w:rPr>
        <w:t xml:space="preserve">По итогам 2021 года ПАО «КМЗ» находится на втором месте после ПАО «Тулачермет» по отгрузкам товарного чугуна на внутренний рынок России,  Белоруссии и стран СНГ.  </w:t>
      </w:r>
      <w:r w:rsidR="00F87D1D">
        <w:rPr>
          <w:rFonts w:ascii="Arial" w:hAnsi="Arial" w:cs="Arial"/>
          <w:bCs/>
          <w:iCs/>
        </w:rPr>
        <w:t xml:space="preserve">Доля </w:t>
      </w:r>
      <w:r w:rsidRPr="004035EF">
        <w:rPr>
          <w:rFonts w:ascii="Arial" w:hAnsi="Arial" w:cs="Arial"/>
          <w:bCs/>
          <w:iCs/>
        </w:rPr>
        <w:t>продаж</w:t>
      </w:r>
      <w:r w:rsidR="00F87D1D">
        <w:rPr>
          <w:rFonts w:ascii="Arial" w:hAnsi="Arial" w:cs="Arial"/>
          <w:bCs/>
          <w:iCs/>
        </w:rPr>
        <w:t xml:space="preserve"> чугуна ПАО «КМЗ» </w:t>
      </w:r>
      <w:r w:rsidRPr="004035EF">
        <w:rPr>
          <w:rFonts w:ascii="Arial" w:hAnsi="Arial" w:cs="Arial"/>
          <w:bCs/>
          <w:iCs/>
        </w:rPr>
        <w:t>составил</w:t>
      </w:r>
      <w:r w:rsidR="00F87D1D">
        <w:rPr>
          <w:rFonts w:ascii="Arial" w:hAnsi="Arial" w:cs="Arial"/>
          <w:bCs/>
          <w:iCs/>
        </w:rPr>
        <w:t xml:space="preserve">а </w:t>
      </w:r>
      <w:r w:rsidRPr="004035EF">
        <w:rPr>
          <w:rFonts w:ascii="Arial" w:hAnsi="Arial" w:cs="Arial"/>
          <w:bCs/>
          <w:iCs/>
        </w:rPr>
        <w:t>15,5 % от общего объема реализованной на этом рынке продукции. Лидер по данному показателю (ПАО «Тулачермет») отгрузил 39,5%</w:t>
      </w:r>
      <w:r w:rsidR="00F87D1D">
        <w:rPr>
          <w:rFonts w:ascii="Arial" w:hAnsi="Arial" w:cs="Arial"/>
          <w:bCs/>
          <w:iCs/>
        </w:rPr>
        <w:t xml:space="preserve"> (</w:t>
      </w:r>
      <w:r w:rsidR="00F87D1D" w:rsidRPr="004035EF">
        <w:rPr>
          <w:rFonts w:ascii="Arial" w:hAnsi="Arial" w:cs="Arial"/>
          <w:bCs/>
          <w:iCs/>
        </w:rPr>
        <w:t>263,14 тыс. т</w:t>
      </w:r>
      <w:r w:rsidR="00F87D1D">
        <w:rPr>
          <w:rFonts w:ascii="Arial" w:hAnsi="Arial" w:cs="Arial"/>
          <w:bCs/>
          <w:iCs/>
        </w:rPr>
        <w:t>)</w:t>
      </w:r>
      <w:r w:rsidRPr="004035EF">
        <w:rPr>
          <w:rFonts w:ascii="Arial" w:hAnsi="Arial" w:cs="Arial"/>
          <w:bCs/>
          <w:iCs/>
        </w:rPr>
        <w:t xml:space="preserve"> от общего объема продукции.</w:t>
      </w:r>
    </w:p>
    <w:bookmarkEnd w:id="10"/>
    <w:p w:rsidR="00FD7491" w:rsidRDefault="00FD7491" w:rsidP="00FD7491">
      <w:pPr>
        <w:keepNext/>
        <w:spacing w:before="120" w:after="120"/>
        <w:jc w:val="center"/>
        <w:rPr>
          <w:rFonts w:ascii="Arial" w:hAnsi="Arial" w:cs="Arial"/>
          <w:bCs/>
          <w:i/>
          <w:szCs w:val="22"/>
        </w:rPr>
      </w:pPr>
      <w:r w:rsidRPr="004035EF">
        <w:rPr>
          <w:rFonts w:ascii="Arial" w:hAnsi="Arial" w:cs="Arial"/>
          <w:bCs/>
          <w:i/>
          <w:szCs w:val="22"/>
        </w:rPr>
        <w:lastRenderedPageBreak/>
        <w:t xml:space="preserve">Таблица </w:t>
      </w:r>
      <w:r w:rsidR="00DB1F86">
        <w:rPr>
          <w:rFonts w:ascii="Arial" w:hAnsi="Arial" w:cs="Arial"/>
          <w:bCs/>
          <w:i/>
          <w:szCs w:val="22"/>
        </w:rPr>
        <w:t>2</w:t>
      </w:r>
      <w:r w:rsidRPr="004035EF">
        <w:rPr>
          <w:rFonts w:ascii="Arial" w:hAnsi="Arial" w:cs="Arial"/>
          <w:bCs/>
          <w:i/>
          <w:szCs w:val="22"/>
        </w:rPr>
        <w:t xml:space="preserve">. </w:t>
      </w:r>
      <w:r w:rsidR="0097294F" w:rsidRPr="004035EF">
        <w:rPr>
          <w:rFonts w:ascii="Arial" w:hAnsi="Arial" w:cs="Arial"/>
          <w:bCs/>
          <w:i/>
          <w:szCs w:val="22"/>
        </w:rPr>
        <w:t>Отгрузка</w:t>
      </w:r>
      <w:r w:rsidRPr="004035EF">
        <w:rPr>
          <w:rFonts w:ascii="Arial" w:hAnsi="Arial" w:cs="Arial"/>
          <w:bCs/>
          <w:i/>
          <w:szCs w:val="22"/>
        </w:rPr>
        <w:t xml:space="preserve"> чугуна российскими производителями на рынки РФ и страны СНГ</w:t>
      </w:r>
    </w:p>
    <w:tbl>
      <w:tblPr>
        <w:tblW w:w="10207" w:type="dxa"/>
        <w:jc w:val="center"/>
        <w:tblLayout w:type="fixed"/>
        <w:tblLook w:val="0000"/>
      </w:tblPr>
      <w:tblGrid>
        <w:gridCol w:w="1702"/>
        <w:gridCol w:w="708"/>
        <w:gridCol w:w="709"/>
        <w:gridCol w:w="709"/>
        <w:gridCol w:w="709"/>
        <w:gridCol w:w="708"/>
        <w:gridCol w:w="709"/>
        <w:gridCol w:w="709"/>
        <w:gridCol w:w="709"/>
        <w:gridCol w:w="708"/>
        <w:gridCol w:w="709"/>
        <w:gridCol w:w="709"/>
        <w:gridCol w:w="709"/>
      </w:tblGrid>
      <w:tr w:rsidR="004C6E4E" w:rsidRPr="00BB00C5" w:rsidTr="00F87D1D">
        <w:trPr>
          <w:trHeight w:val="743"/>
          <w:jc w:val="center"/>
        </w:trPr>
        <w:tc>
          <w:tcPr>
            <w:tcW w:w="1702" w:type="dxa"/>
            <w:tcBorders>
              <w:top w:val="single" w:sz="4" w:space="0" w:color="auto"/>
              <w:left w:val="single" w:sz="4" w:space="0" w:color="auto"/>
              <w:bottom w:val="nil"/>
              <w:right w:val="single" w:sz="4" w:space="0" w:color="auto"/>
            </w:tcBorders>
            <w:shd w:val="clear" w:color="auto" w:fill="C6D9F1" w:themeFill="text2" w:themeFillTint="33"/>
            <w:tcMar>
              <w:left w:w="28" w:type="dxa"/>
              <w:right w:w="28" w:type="dxa"/>
            </w:tcMar>
            <w:vAlign w:val="center"/>
          </w:tcPr>
          <w:p w:rsidR="004C6E4E" w:rsidRPr="000D6081" w:rsidRDefault="004C6E4E" w:rsidP="00DE19B3">
            <w:pPr>
              <w:keepNext/>
              <w:jc w:val="center"/>
              <w:rPr>
                <w:sz w:val="18"/>
                <w:szCs w:val="18"/>
              </w:rPr>
            </w:pPr>
            <w:r w:rsidRPr="000D6081">
              <w:rPr>
                <w:sz w:val="18"/>
                <w:szCs w:val="18"/>
              </w:rPr>
              <w:t>Предприятие</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keepNext/>
              <w:jc w:val="center"/>
              <w:rPr>
                <w:sz w:val="18"/>
                <w:szCs w:val="18"/>
              </w:rPr>
            </w:pPr>
            <w:r>
              <w:rPr>
                <w:sz w:val="18"/>
                <w:szCs w:val="18"/>
              </w:rPr>
              <w:t>2016г.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keepNext/>
              <w:jc w:val="center"/>
              <w:rPr>
                <w:sz w:val="18"/>
                <w:szCs w:val="18"/>
              </w:rPr>
            </w:pPr>
            <w:r>
              <w:rPr>
                <w:sz w:val="18"/>
                <w:szCs w:val="18"/>
              </w:rPr>
              <w:t>2017г.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keepNext/>
              <w:jc w:val="center"/>
              <w:rPr>
                <w:sz w:val="18"/>
                <w:szCs w:val="18"/>
              </w:rPr>
            </w:pPr>
            <w:r>
              <w:rPr>
                <w:sz w:val="18"/>
                <w:szCs w:val="18"/>
              </w:rPr>
              <w:t>2018г.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keepNext/>
              <w:jc w:val="center"/>
              <w:rPr>
                <w:sz w:val="18"/>
                <w:szCs w:val="18"/>
              </w:rPr>
            </w:pPr>
            <w:r>
              <w:rPr>
                <w:sz w:val="18"/>
                <w:szCs w:val="18"/>
              </w:rPr>
              <w:t>2019г.</w:t>
            </w:r>
          </w:p>
        </w:tc>
        <w:tc>
          <w:tcPr>
            <w:tcW w:w="141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C6E4E" w:rsidRPr="00BB00C5" w:rsidRDefault="004C6E4E" w:rsidP="00DE19B3">
            <w:pPr>
              <w:jc w:val="center"/>
            </w:pPr>
            <w:r>
              <w:rPr>
                <w:sz w:val="18"/>
                <w:szCs w:val="18"/>
              </w:rPr>
              <w:t>2020</w:t>
            </w:r>
            <w:r w:rsidRPr="00BB00C5">
              <w:rPr>
                <w:sz w:val="18"/>
                <w:szCs w:val="18"/>
              </w:rPr>
              <w:t>г.</w:t>
            </w:r>
          </w:p>
        </w:tc>
        <w:tc>
          <w:tcPr>
            <w:tcW w:w="141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C6E4E" w:rsidRPr="00BB00C5" w:rsidRDefault="004C6E4E" w:rsidP="00DE19B3">
            <w:pPr>
              <w:jc w:val="center"/>
            </w:pPr>
            <w:r>
              <w:rPr>
                <w:sz w:val="18"/>
                <w:szCs w:val="18"/>
              </w:rPr>
              <w:t>2021</w:t>
            </w:r>
            <w:r w:rsidRPr="00BB00C5">
              <w:rPr>
                <w:sz w:val="18"/>
                <w:szCs w:val="18"/>
              </w:rPr>
              <w:t>г</w:t>
            </w:r>
          </w:p>
        </w:tc>
      </w:tr>
      <w:tr w:rsidR="004C6E4E" w:rsidRPr="00BB00C5" w:rsidTr="00F87D1D">
        <w:trPr>
          <w:cantSplit/>
          <w:trHeight w:val="1134"/>
          <w:jc w:val="center"/>
        </w:trPr>
        <w:tc>
          <w:tcPr>
            <w:tcW w:w="1702" w:type="dxa"/>
            <w:tcBorders>
              <w:top w:val="nil"/>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Pr="000D6081" w:rsidRDefault="004C6E4E" w:rsidP="00DE19B3">
            <w:pPr>
              <w:rPr>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C6E4E" w:rsidRDefault="004C6E4E" w:rsidP="00DE19B3">
            <w:pPr>
              <w:jc w:val="center"/>
              <w:rPr>
                <w:sz w:val="18"/>
                <w:szCs w:val="18"/>
              </w:rPr>
            </w:pPr>
            <w:r>
              <w:rPr>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jc w:val="center"/>
              <w:rPr>
                <w:sz w:val="18"/>
                <w:szCs w:val="18"/>
              </w:rPr>
            </w:pPr>
            <w:r>
              <w:rPr>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C6E4E" w:rsidRDefault="004C6E4E" w:rsidP="00DE19B3">
            <w:pPr>
              <w:jc w:val="center"/>
              <w:rPr>
                <w:sz w:val="18"/>
                <w:szCs w:val="18"/>
              </w:rPr>
            </w:pPr>
            <w:r>
              <w:rPr>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jc w:val="center"/>
              <w:rPr>
                <w:sz w:val="18"/>
                <w:szCs w:val="18"/>
              </w:rPr>
            </w:pPr>
            <w:r>
              <w:rPr>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C6E4E" w:rsidRDefault="004C6E4E" w:rsidP="00DE19B3">
            <w:pPr>
              <w:jc w:val="center"/>
              <w:rPr>
                <w:sz w:val="18"/>
                <w:szCs w:val="18"/>
              </w:rPr>
            </w:pPr>
            <w:r>
              <w:rPr>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jc w:val="center"/>
              <w:rPr>
                <w:sz w:val="18"/>
                <w:szCs w:val="18"/>
              </w:rPr>
            </w:pPr>
            <w:r>
              <w:rPr>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textDirection w:val="btLr"/>
            <w:vAlign w:val="center"/>
          </w:tcPr>
          <w:p w:rsidR="004C6E4E" w:rsidRDefault="004C6E4E" w:rsidP="00DE19B3">
            <w:pPr>
              <w:jc w:val="center"/>
              <w:rPr>
                <w:sz w:val="18"/>
                <w:szCs w:val="18"/>
              </w:rPr>
            </w:pPr>
            <w:r>
              <w:rPr>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cMar>
              <w:left w:w="28" w:type="dxa"/>
              <w:right w:w="28" w:type="dxa"/>
            </w:tcMar>
            <w:vAlign w:val="center"/>
          </w:tcPr>
          <w:p w:rsidR="004C6E4E" w:rsidRDefault="004C6E4E" w:rsidP="00DE19B3">
            <w:pPr>
              <w:jc w:val="center"/>
              <w:rPr>
                <w:sz w:val="18"/>
                <w:szCs w:val="18"/>
              </w:rPr>
            </w:pPr>
            <w:r>
              <w:rPr>
                <w:sz w:val="18"/>
                <w:szCs w:val="18"/>
              </w:rPr>
              <w:t>Доля рынка, %</w:t>
            </w:r>
          </w:p>
        </w:tc>
        <w:tc>
          <w:tcPr>
            <w:tcW w:w="708"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4C6E4E" w:rsidRPr="00BB00C5" w:rsidRDefault="004C6E4E" w:rsidP="00DE19B3">
            <w:pPr>
              <w:ind w:left="113" w:right="-108"/>
              <w:jc w:val="center"/>
              <w:rPr>
                <w:sz w:val="18"/>
                <w:szCs w:val="18"/>
              </w:rPr>
            </w:pPr>
            <w:r w:rsidRPr="00BB00C5">
              <w:rPr>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C6E4E" w:rsidRPr="00BB00C5" w:rsidRDefault="004C6E4E" w:rsidP="00DE19B3">
            <w:pPr>
              <w:jc w:val="center"/>
            </w:pPr>
            <w:r w:rsidRPr="00BB00C5">
              <w:rPr>
                <w:sz w:val="18"/>
                <w:szCs w:val="18"/>
              </w:rPr>
              <w:t>Доля рынка, %</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textDirection w:val="btLr"/>
          </w:tcPr>
          <w:p w:rsidR="004C6E4E" w:rsidRPr="00BB00C5" w:rsidRDefault="004C6E4E" w:rsidP="00DE19B3">
            <w:pPr>
              <w:ind w:left="113" w:right="-108"/>
              <w:jc w:val="center"/>
              <w:rPr>
                <w:sz w:val="18"/>
                <w:szCs w:val="18"/>
              </w:rPr>
            </w:pPr>
            <w:r w:rsidRPr="00BB00C5">
              <w:rPr>
                <w:sz w:val="18"/>
                <w:szCs w:val="18"/>
              </w:rPr>
              <w:t>Отгрузка, тыс.т</w:t>
            </w:r>
          </w:p>
        </w:tc>
        <w:tc>
          <w:tcPr>
            <w:tcW w:w="7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4C6E4E" w:rsidRPr="00BB00C5" w:rsidRDefault="004C6E4E" w:rsidP="00DE19B3">
            <w:pPr>
              <w:jc w:val="center"/>
            </w:pPr>
            <w:r w:rsidRPr="00BB00C5">
              <w:rPr>
                <w:sz w:val="18"/>
                <w:szCs w:val="18"/>
              </w:rPr>
              <w:t>Доля рынка, %</w:t>
            </w:r>
          </w:p>
        </w:tc>
      </w:tr>
      <w:tr w:rsidR="004C6E4E" w:rsidRPr="00BB00C5" w:rsidTr="00F87D1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w:t>
            </w:r>
            <w:r w:rsidRPr="000D6081">
              <w:rPr>
                <w:sz w:val="18"/>
                <w:szCs w:val="18"/>
              </w:rPr>
              <w:t>АО «КМЗ»</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205,6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24,4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186,7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24,8</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175,1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24,2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143,8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22,9</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173,7</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29</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103,5</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15,5</w:t>
            </w:r>
          </w:p>
        </w:tc>
      </w:tr>
      <w:tr w:rsidR="004C6E4E" w:rsidRPr="00BB00C5" w:rsidTr="00F87D1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w:t>
            </w:r>
            <w:r w:rsidRPr="000D6081">
              <w:rPr>
                <w:sz w:val="18"/>
                <w:szCs w:val="18"/>
              </w:rPr>
              <w:t>АО «Тулачермет»</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270,6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32,18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302,4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40,2</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288,1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39,8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299,9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47,8</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238,3</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40</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263,1</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39,5</w:t>
            </w:r>
          </w:p>
        </w:tc>
      </w:tr>
      <w:tr w:rsidR="004C6E4E" w:rsidRPr="00BB00C5" w:rsidTr="00F87D1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О</w:t>
            </w:r>
            <w:r w:rsidRPr="000D6081">
              <w:rPr>
                <w:sz w:val="18"/>
                <w:szCs w:val="18"/>
              </w:rPr>
              <w:t>АО «НТМК»</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21,4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52,2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6,9</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99,3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13,7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51,1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8,1</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6,8</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37,7</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5,7</w:t>
            </w:r>
          </w:p>
        </w:tc>
      </w:tr>
      <w:tr w:rsidR="004C6E4E" w:rsidRPr="00BB00C5" w:rsidTr="00F87D1D">
        <w:trPr>
          <w:trHeight w:val="559"/>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w:t>
            </w:r>
            <w:r w:rsidRPr="000D6081">
              <w:rPr>
                <w:sz w:val="18"/>
                <w:szCs w:val="18"/>
              </w:rPr>
              <w:t>АО «НЛМК»</w:t>
            </w:r>
          </w:p>
        </w:tc>
        <w:tc>
          <w:tcPr>
            <w:tcW w:w="708"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82,7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9,8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17,8</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2,4</w:t>
            </w:r>
          </w:p>
        </w:tc>
        <w:tc>
          <w:tcPr>
            <w:tcW w:w="708"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16,6</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2,3</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0</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0</w:t>
            </w:r>
          </w:p>
        </w:tc>
        <w:tc>
          <w:tcPr>
            <w:tcW w:w="708"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0</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0</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26,2</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3,9</w:t>
            </w:r>
          </w:p>
        </w:tc>
      </w:tr>
      <w:tr w:rsidR="004C6E4E" w:rsidRPr="00BB00C5" w:rsidTr="00F87D1D">
        <w:trPr>
          <w:trHeight w:val="468"/>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w:t>
            </w:r>
            <w:r w:rsidRPr="000D6081">
              <w:rPr>
                <w:sz w:val="18"/>
                <w:szCs w:val="18"/>
              </w:rPr>
              <w:t>АО «Северсталь»</w:t>
            </w:r>
          </w:p>
        </w:tc>
        <w:tc>
          <w:tcPr>
            <w:tcW w:w="708"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16,3</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1,9</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9,5</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1,3</w:t>
            </w:r>
          </w:p>
        </w:tc>
        <w:tc>
          <w:tcPr>
            <w:tcW w:w="708"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15,4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2,15</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11,7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1,86</w:t>
            </w:r>
          </w:p>
        </w:tc>
        <w:tc>
          <w:tcPr>
            <w:tcW w:w="708"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12,9</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2,2</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19,3</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2,9</w:t>
            </w:r>
          </w:p>
        </w:tc>
      </w:tr>
      <w:tr w:rsidR="004C6E4E" w:rsidRPr="00BB00C5" w:rsidTr="00F87D1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w:t>
            </w:r>
            <w:r w:rsidRPr="000D6081">
              <w:rPr>
                <w:sz w:val="18"/>
                <w:szCs w:val="18"/>
              </w:rPr>
              <w:t>АО «ЧМК» (Мечел)</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89,7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81,3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10,8</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57,3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27,5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4,4</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70,6</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11,8</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27,9</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4,2</w:t>
            </w:r>
          </w:p>
        </w:tc>
      </w:tr>
      <w:tr w:rsidR="004C6E4E" w:rsidRPr="00BB00C5" w:rsidTr="00F87D1D">
        <w:trPr>
          <w:trHeight w:val="525"/>
          <w:jc w:val="center"/>
        </w:trPr>
        <w:tc>
          <w:tcPr>
            <w:tcW w:w="1702" w:type="dxa"/>
            <w:tcBorders>
              <w:top w:val="single" w:sz="4" w:space="0" w:color="auto"/>
              <w:left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А</w:t>
            </w:r>
            <w:r w:rsidRPr="000D6081">
              <w:rPr>
                <w:sz w:val="18"/>
                <w:szCs w:val="18"/>
              </w:rPr>
              <w:t>О «Уральская сталь»</w:t>
            </w:r>
          </w:p>
        </w:tc>
        <w:tc>
          <w:tcPr>
            <w:tcW w:w="708"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114,4</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13,6</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41,2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5,5</w:t>
            </w:r>
          </w:p>
        </w:tc>
        <w:tc>
          <w:tcPr>
            <w:tcW w:w="708"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35,7</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4,93</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23,2</w:t>
            </w:r>
          </w:p>
        </w:tc>
        <w:tc>
          <w:tcPr>
            <w:tcW w:w="709" w:type="dxa"/>
            <w:tcBorders>
              <w:top w:val="single" w:sz="4" w:space="0" w:color="auto"/>
              <w:left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3,7</w:t>
            </w:r>
          </w:p>
        </w:tc>
        <w:tc>
          <w:tcPr>
            <w:tcW w:w="708"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8,8</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0,9</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37,4</w:t>
            </w:r>
          </w:p>
        </w:tc>
        <w:tc>
          <w:tcPr>
            <w:tcW w:w="709" w:type="dxa"/>
            <w:tcBorders>
              <w:top w:val="single" w:sz="4" w:space="0" w:color="auto"/>
              <w:left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5,6</w:t>
            </w:r>
          </w:p>
        </w:tc>
      </w:tr>
      <w:tr w:rsidR="004C6E4E" w:rsidRPr="00BB00C5" w:rsidTr="00F87D1D">
        <w:trPr>
          <w:trHeight w:val="567"/>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w:t>
            </w:r>
            <w:r w:rsidRPr="000D6081">
              <w:rPr>
                <w:sz w:val="18"/>
                <w:szCs w:val="18"/>
              </w:rPr>
              <w:t>АО «</w:t>
            </w:r>
            <w:r>
              <w:rPr>
                <w:sz w:val="18"/>
                <w:szCs w:val="18"/>
              </w:rPr>
              <w:t>Надежденский МЗ</w:t>
            </w:r>
            <w:r w:rsidRPr="000D6081">
              <w:rPr>
                <w:sz w:val="18"/>
                <w:szCs w:val="18"/>
              </w:rPr>
              <w:t>»</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42,6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5,7</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35,6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4,58</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76,4</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39,2</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5,9</w:t>
            </w:r>
          </w:p>
        </w:tc>
      </w:tr>
      <w:tr w:rsidR="004C6E4E" w:rsidRPr="00BB00C5" w:rsidTr="00F87D1D">
        <w:trPr>
          <w:trHeight w:val="482"/>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0D6081" w:rsidRDefault="004C6E4E" w:rsidP="00DE19B3">
            <w:pPr>
              <w:rPr>
                <w:sz w:val="18"/>
                <w:szCs w:val="18"/>
              </w:rPr>
            </w:pPr>
            <w:r>
              <w:rPr>
                <w:sz w:val="18"/>
                <w:szCs w:val="18"/>
              </w:rPr>
              <w:t>Прочие</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18,0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2,4</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41,8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6,66</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10,8</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111,6</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16,8</w:t>
            </w:r>
          </w:p>
        </w:tc>
      </w:tr>
      <w:tr w:rsidR="004C6E4E" w:rsidRPr="00BB00C5" w:rsidTr="00F87D1D">
        <w:trPr>
          <w:trHeight w:val="645"/>
          <w:jc w:val="center"/>
        </w:trPr>
        <w:tc>
          <w:tcPr>
            <w:tcW w:w="17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136703" w:rsidRDefault="004C6E4E" w:rsidP="00DE19B3">
            <w:pPr>
              <w:rPr>
                <w:sz w:val="20"/>
                <w:szCs w:val="20"/>
              </w:rPr>
            </w:pPr>
            <w:r w:rsidRPr="00136703">
              <w:rPr>
                <w:sz w:val="20"/>
                <w:szCs w:val="20"/>
              </w:rPr>
              <w:t>Всего</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841,7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751,7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100</w:t>
            </w:r>
          </w:p>
        </w:tc>
        <w:tc>
          <w:tcPr>
            <w:tcW w:w="7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723,1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627,7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6E4E" w:rsidRPr="00BB00C5" w:rsidRDefault="004C6E4E" w:rsidP="00DE19B3">
            <w:pPr>
              <w:jc w:val="center"/>
              <w:rPr>
                <w:sz w:val="18"/>
                <w:szCs w:val="18"/>
              </w:rPr>
            </w:pPr>
            <w:r>
              <w:rPr>
                <w:sz w:val="18"/>
                <w:szCs w:val="18"/>
              </w:rPr>
              <w:t>100</w:t>
            </w:r>
          </w:p>
        </w:tc>
        <w:tc>
          <w:tcPr>
            <w:tcW w:w="708"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598,3</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665,9</w:t>
            </w:r>
          </w:p>
        </w:tc>
        <w:tc>
          <w:tcPr>
            <w:tcW w:w="709" w:type="dxa"/>
            <w:tcBorders>
              <w:top w:val="single" w:sz="4" w:space="0" w:color="auto"/>
              <w:left w:val="single" w:sz="4" w:space="0" w:color="auto"/>
              <w:bottom w:val="single" w:sz="4" w:space="0" w:color="auto"/>
              <w:right w:val="single" w:sz="4" w:space="0" w:color="auto"/>
            </w:tcBorders>
            <w:vAlign w:val="center"/>
          </w:tcPr>
          <w:p w:rsidR="004C6E4E" w:rsidRPr="00BB00C5" w:rsidRDefault="004C6E4E" w:rsidP="00DE19B3">
            <w:pPr>
              <w:jc w:val="center"/>
              <w:rPr>
                <w:sz w:val="18"/>
                <w:szCs w:val="18"/>
              </w:rPr>
            </w:pPr>
            <w:r>
              <w:rPr>
                <w:sz w:val="18"/>
                <w:szCs w:val="18"/>
              </w:rPr>
              <w:t>100</w:t>
            </w:r>
          </w:p>
        </w:tc>
      </w:tr>
    </w:tbl>
    <w:p w:rsidR="00FD7491" w:rsidRDefault="00FD7491" w:rsidP="00FD7491">
      <w:pPr>
        <w:pStyle w:val="ab"/>
        <w:spacing w:before="120" w:after="120"/>
        <w:ind w:left="0" w:firstLine="709"/>
        <w:jc w:val="center"/>
        <w:rPr>
          <w:rFonts w:ascii="Arial" w:hAnsi="Arial" w:cs="Arial"/>
          <w:i/>
          <w:szCs w:val="22"/>
        </w:rPr>
      </w:pPr>
      <w:r w:rsidRPr="00F87D1D">
        <w:rPr>
          <w:rFonts w:ascii="Arial" w:hAnsi="Arial" w:cs="Arial"/>
          <w:i/>
          <w:szCs w:val="22"/>
        </w:rPr>
        <w:t xml:space="preserve">Рисунок </w:t>
      </w:r>
      <w:r w:rsidR="00694F1A">
        <w:rPr>
          <w:rFonts w:ascii="Arial" w:hAnsi="Arial" w:cs="Arial"/>
          <w:i/>
          <w:szCs w:val="22"/>
        </w:rPr>
        <w:t>1</w:t>
      </w:r>
      <w:r w:rsidRPr="00F87D1D">
        <w:rPr>
          <w:rFonts w:ascii="Arial" w:hAnsi="Arial" w:cs="Arial"/>
          <w:i/>
          <w:szCs w:val="22"/>
        </w:rPr>
        <w:t xml:space="preserve">. </w:t>
      </w:r>
      <w:r w:rsidR="0097294F" w:rsidRPr="00F87D1D">
        <w:rPr>
          <w:rFonts w:ascii="Arial" w:hAnsi="Arial" w:cs="Arial"/>
          <w:i/>
          <w:szCs w:val="22"/>
        </w:rPr>
        <w:t>Отгрузка</w:t>
      </w:r>
      <w:r w:rsidRPr="00F87D1D">
        <w:rPr>
          <w:rFonts w:ascii="Arial" w:hAnsi="Arial" w:cs="Arial"/>
          <w:i/>
          <w:szCs w:val="22"/>
        </w:rPr>
        <w:t xml:space="preserve"> чугуна в РФ и странах СНГ в 20</w:t>
      </w:r>
      <w:r w:rsidR="001827AF" w:rsidRPr="00F87D1D">
        <w:rPr>
          <w:rFonts w:ascii="Arial" w:hAnsi="Arial" w:cs="Arial"/>
          <w:i/>
          <w:szCs w:val="22"/>
        </w:rPr>
        <w:t>2</w:t>
      </w:r>
      <w:r w:rsidR="00DE19B3" w:rsidRPr="00F87D1D">
        <w:rPr>
          <w:rFonts w:ascii="Arial" w:hAnsi="Arial" w:cs="Arial"/>
          <w:i/>
          <w:szCs w:val="22"/>
        </w:rPr>
        <w:t>1</w:t>
      </w:r>
      <w:r w:rsidRPr="00F87D1D">
        <w:rPr>
          <w:rFonts w:ascii="Arial" w:hAnsi="Arial" w:cs="Arial"/>
          <w:i/>
          <w:szCs w:val="22"/>
        </w:rPr>
        <w:t xml:space="preserve"> году (в тоннах)</w:t>
      </w:r>
    </w:p>
    <w:p w:rsidR="00E75D32" w:rsidRPr="00852AF1" w:rsidRDefault="00B07D9E" w:rsidP="00B07D9E">
      <w:pPr>
        <w:pStyle w:val="ab"/>
        <w:spacing w:before="120" w:after="120"/>
        <w:ind w:left="0" w:hanging="567"/>
        <w:jc w:val="center"/>
        <w:rPr>
          <w:noProof/>
        </w:rPr>
      </w:pPr>
      <w:r>
        <w:rPr>
          <w:noProof/>
        </w:rPr>
        <w:drawing>
          <wp:inline distT="0" distB="0" distL="0" distR="0">
            <wp:extent cx="6619875" cy="3553460"/>
            <wp:effectExtent l="0" t="0" r="9525" b="889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D7491" w:rsidRDefault="00FD7491" w:rsidP="00720979">
      <w:pPr>
        <w:pStyle w:val="ab"/>
        <w:keepNext/>
        <w:spacing w:before="120" w:after="120"/>
        <w:ind w:left="0" w:firstLine="709"/>
        <w:jc w:val="center"/>
        <w:rPr>
          <w:rFonts w:ascii="Arial" w:hAnsi="Arial" w:cs="Arial"/>
          <w:i/>
          <w:szCs w:val="22"/>
        </w:rPr>
      </w:pPr>
      <w:r w:rsidRPr="001827AF">
        <w:rPr>
          <w:rFonts w:ascii="Arial" w:hAnsi="Arial" w:cs="Arial"/>
          <w:i/>
          <w:szCs w:val="22"/>
        </w:rPr>
        <w:lastRenderedPageBreak/>
        <w:t xml:space="preserve">Рисунок </w:t>
      </w:r>
      <w:r w:rsidR="00694F1A">
        <w:rPr>
          <w:rFonts w:ascii="Arial" w:hAnsi="Arial" w:cs="Arial"/>
          <w:i/>
          <w:szCs w:val="22"/>
        </w:rPr>
        <w:t>2</w:t>
      </w:r>
      <w:r w:rsidRPr="001827AF">
        <w:rPr>
          <w:rFonts w:ascii="Arial" w:hAnsi="Arial" w:cs="Arial"/>
          <w:i/>
          <w:szCs w:val="22"/>
        </w:rPr>
        <w:t>. Доля ПАО «КМЗ» на рынке чугуна РФ и стран СНГ в 20</w:t>
      </w:r>
      <w:r w:rsidR="001827AF">
        <w:rPr>
          <w:rFonts w:ascii="Arial" w:hAnsi="Arial" w:cs="Arial"/>
          <w:i/>
          <w:szCs w:val="22"/>
        </w:rPr>
        <w:t>2</w:t>
      </w:r>
      <w:r w:rsidR="00B07D9E">
        <w:rPr>
          <w:rFonts w:ascii="Arial" w:hAnsi="Arial" w:cs="Arial"/>
          <w:i/>
          <w:szCs w:val="22"/>
        </w:rPr>
        <w:t>1</w:t>
      </w:r>
      <w:r w:rsidRPr="001827AF">
        <w:rPr>
          <w:rFonts w:ascii="Arial" w:hAnsi="Arial" w:cs="Arial"/>
          <w:i/>
          <w:szCs w:val="22"/>
        </w:rPr>
        <w:t xml:space="preserve"> году</w:t>
      </w:r>
    </w:p>
    <w:p w:rsidR="00B07D9E" w:rsidRPr="00044C17" w:rsidRDefault="00F63C5E" w:rsidP="00B07D9E">
      <w:pPr>
        <w:pStyle w:val="ab"/>
        <w:tabs>
          <w:tab w:val="left" w:pos="0"/>
        </w:tabs>
        <w:spacing w:before="120" w:after="120"/>
        <w:ind w:left="0"/>
        <w:jc w:val="center"/>
        <w:rPr>
          <w:rFonts w:ascii="Arial" w:hAnsi="Arial" w:cs="Arial"/>
          <w:bCs/>
          <w:i/>
          <w:highlight w:val="yellow"/>
        </w:rPr>
      </w:pPr>
      <w:r>
        <w:rPr>
          <w:noProof/>
        </w:rPr>
        <w:drawing>
          <wp:inline distT="0" distB="0" distL="0" distR="0">
            <wp:extent cx="6286500" cy="3277870"/>
            <wp:effectExtent l="0" t="0" r="0" b="1778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1126D" w:rsidRPr="00BA5E52" w:rsidRDefault="00BA5E52" w:rsidP="00BA5E52">
      <w:pPr>
        <w:pStyle w:val="ab"/>
        <w:spacing w:before="120" w:after="120"/>
        <w:ind w:left="0" w:firstLine="709"/>
        <w:jc w:val="both"/>
        <w:rPr>
          <w:rFonts w:ascii="Arial" w:hAnsi="Arial" w:cs="Arial"/>
          <w:b/>
          <w:bCs/>
          <w:szCs w:val="22"/>
        </w:rPr>
      </w:pPr>
      <w:r w:rsidRPr="00BA5E52">
        <w:rPr>
          <w:rFonts w:ascii="Arial" w:hAnsi="Arial" w:cs="Arial"/>
          <w:szCs w:val="22"/>
        </w:rPr>
        <w:t xml:space="preserve">По итогам 2021 года ПАО «КМЗ» является лидером продаж высококачественного чугуна на внутреннем рынке РФ. </w:t>
      </w:r>
      <w:r w:rsidRPr="00BA5E52">
        <w:rPr>
          <w:rFonts w:ascii="Arial" w:hAnsi="Arial" w:cs="Arial"/>
          <w:bCs/>
          <w:szCs w:val="22"/>
        </w:rPr>
        <w:t>Химический состав нодулярного чугуна ПАО «КМЗ»  (фосфор менее 0,03%, сера менее 0,01%, марганец менее 0,05%) позволяет применять его для производства ответственных изделий. Благодаря чугуну ПАО «КМЗ» улучшается качество продукции, и за счет уменьшения потребления дорогостоящих модификаторов снижается её себестоимость. В настоящее время ПАО «КМЗ» является единственным отечественным производителем чугуна подобного качества, получая его непосредственно в процессе доменной плавки. Другие предприятия только планируют освоить технологию производства нодулярного чугуна в доменной печи, но характеристики их печей не позволяют получать нодулярный чугун. Для достижения подобного качества требуется использовать внепечную обработку, что повышает себестоимость выпускаемого чугуна.</w:t>
      </w:r>
    </w:p>
    <w:p w:rsidR="006879B8" w:rsidRPr="00C41FF4" w:rsidRDefault="006879B8" w:rsidP="00530215">
      <w:pPr>
        <w:pStyle w:val="3"/>
        <w:spacing w:before="120" w:after="120"/>
        <w:rPr>
          <w:rFonts w:ascii="Arial" w:hAnsi="Arial" w:cs="Arial"/>
          <w:b w:val="0"/>
          <w:i/>
          <w:color w:val="auto"/>
          <w:sz w:val="28"/>
        </w:rPr>
      </w:pPr>
      <w:bookmarkStart w:id="12" w:name="_Toc100678738"/>
      <w:r w:rsidRPr="006B59E4">
        <w:rPr>
          <w:rFonts w:ascii="Arial" w:hAnsi="Arial" w:cs="Arial"/>
          <w:b w:val="0"/>
          <w:i/>
          <w:color w:val="auto"/>
          <w:sz w:val="28"/>
        </w:rPr>
        <w:t xml:space="preserve">Позиции </w:t>
      </w:r>
      <w:r w:rsidR="007B46DE" w:rsidRPr="006B59E4">
        <w:rPr>
          <w:rFonts w:ascii="Arial" w:hAnsi="Arial" w:cs="Arial"/>
          <w:b w:val="0"/>
          <w:i/>
          <w:color w:val="auto"/>
          <w:sz w:val="28"/>
        </w:rPr>
        <w:t>П</w:t>
      </w:r>
      <w:r w:rsidRPr="006B59E4">
        <w:rPr>
          <w:rFonts w:ascii="Arial" w:hAnsi="Arial" w:cs="Arial"/>
          <w:b w:val="0"/>
          <w:i/>
          <w:color w:val="auto"/>
          <w:sz w:val="28"/>
        </w:rPr>
        <w:t>АО «КМЗ» на рынке ферромарганца</w:t>
      </w:r>
      <w:bookmarkEnd w:id="11"/>
      <w:bookmarkEnd w:id="12"/>
    </w:p>
    <w:p w:rsidR="00FB74C9" w:rsidRPr="00162CB9" w:rsidRDefault="00FB74C9" w:rsidP="00FB74C9">
      <w:pPr>
        <w:spacing w:before="120" w:after="120"/>
        <w:ind w:firstLine="709"/>
        <w:jc w:val="both"/>
        <w:rPr>
          <w:rFonts w:ascii="Arial" w:hAnsi="Arial" w:cs="Arial"/>
        </w:rPr>
      </w:pPr>
      <w:r w:rsidRPr="00162CB9">
        <w:rPr>
          <w:rFonts w:ascii="Arial" w:hAnsi="Arial" w:cs="Arial"/>
          <w:bCs/>
          <w:iCs/>
        </w:rPr>
        <w:t xml:space="preserve">ПАО «Косогорский металлургический завод» является одним из </w:t>
      </w:r>
      <w:r>
        <w:rPr>
          <w:rFonts w:ascii="Arial" w:hAnsi="Arial" w:cs="Arial"/>
          <w:bCs/>
          <w:iCs/>
        </w:rPr>
        <w:t>крупнейших</w:t>
      </w:r>
      <w:r w:rsidRPr="00162CB9">
        <w:rPr>
          <w:rFonts w:ascii="Arial" w:hAnsi="Arial" w:cs="Arial"/>
          <w:bCs/>
          <w:iCs/>
        </w:rPr>
        <w:t xml:space="preserve"> производителей ферромарганца в России. </w:t>
      </w:r>
      <w:r>
        <w:rPr>
          <w:rFonts w:ascii="Arial" w:hAnsi="Arial" w:cs="Arial"/>
          <w:bCs/>
          <w:iCs/>
        </w:rPr>
        <w:t>Основным направлением отгрузки ферромарганца в 2021</w:t>
      </w:r>
      <w:r w:rsidRPr="00162CB9">
        <w:rPr>
          <w:rFonts w:ascii="Arial" w:hAnsi="Arial" w:cs="Arial"/>
          <w:bCs/>
          <w:iCs/>
        </w:rPr>
        <w:t xml:space="preserve"> году </w:t>
      </w:r>
      <w:r>
        <w:rPr>
          <w:rFonts w:ascii="Arial" w:hAnsi="Arial" w:cs="Arial"/>
          <w:bCs/>
          <w:iCs/>
        </w:rPr>
        <w:t>остался рынок РФ и СНГ. Было отгружено 62,8 тыс.тонн. Отгрузка в дальнее зарубежье по сравнению с прошлым годом увеличилась и составила 19,2 тыс.тонн.</w:t>
      </w:r>
    </w:p>
    <w:p w:rsidR="00FB74C9" w:rsidRPr="00162CB9" w:rsidRDefault="00FB74C9" w:rsidP="00FB74C9">
      <w:pPr>
        <w:spacing w:before="120" w:after="120"/>
        <w:ind w:firstLine="709"/>
        <w:jc w:val="both"/>
        <w:rPr>
          <w:rFonts w:ascii="Arial" w:hAnsi="Arial" w:cs="Arial"/>
        </w:rPr>
      </w:pPr>
      <w:r w:rsidRPr="00DD4FA5">
        <w:rPr>
          <w:rFonts w:ascii="Arial" w:eastAsia="Calibri" w:hAnsi="Arial" w:cs="Arial"/>
        </w:rPr>
        <w:t>Объем производст</w:t>
      </w:r>
      <w:r>
        <w:rPr>
          <w:rFonts w:ascii="Arial" w:eastAsia="Calibri" w:hAnsi="Arial" w:cs="Arial"/>
        </w:rPr>
        <w:t>ва ферромарганца ПАО «КМЗ» в 2021</w:t>
      </w:r>
      <w:r w:rsidRPr="00DD4FA5">
        <w:rPr>
          <w:rFonts w:ascii="Arial" w:eastAsia="Calibri" w:hAnsi="Arial" w:cs="Arial"/>
        </w:rPr>
        <w:t xml:space="preserve"> году составил </w:t>
      </w:r>
      <w:r>
        <w:rPr>
          <w:rFonts w:ascii="Arial" w:eastAsia="Calibri" w:hAnsi="Arial" w:cs="Arial"/>
        </w:rPr>
        <w:t>88,2</w:t>
      </w:r>
      <w:r w:rsidRPr="00DD4FA5">
        <w:rPr>
          <w:rFonts w:ascii="Arial" w:eastAsia="Calibri" w:hAnsi="Arial" w:cs="Arial"/>
        </w:rPr>
        <w:t xml:space="preserve"> тыс. тонн, что на</w:t>
      </w:r>
      <w:r>
        <w:rPr>
          <w:rFonts w:ascii="Arial" w:eastAsia="Calibri" w:hAnsi="Arial" w:cs="Arial"/>
        </w:rPr>
        <w:t xml:space="preserve"> 23,7 тыс. тонн больше, чем в 2020</w:t>
      </w:r>
      <w:r w:rsidRPr="00DD4FA5">
        <w:rPr>
          <w:rFonts w:ascii="Arial" w:eastAsia="Calibri" w:hAnsi="Arial" w:cs="Arial"/>
        </w:rPr>
        <w:t xml:space="preserve"> году. </w:t>
      </w:r>
      <w:r>
        <w:rPr>
          <w:rFonts w:ascii="Arial" w:eastAsia="Calibri" w:hAnsi="Arial" w:cs="Arial"/>
        </w:rPr>
        <w:t xml:space="preserve">Более 2-х месяцев производство ферромарганца осуществлялось на 2-х доменных печах. </w:t>
      </w:r>
      <w:r w:rsidRPr="00DD4FA5">
        <w:rPr>
          <w:rFonts w:ascii="Arial" w:hAnsi="Arial" w:cs="Arial"/>
        </w:rPr>
        <w:t>Общий объем прод</w:t>
      </w:r>
      <w:r>
        <w:rPr>
          <w:rFonts w:ascii="Arial" w:hAnsi="Arial" w:cs="Arial"/>
        </w:rPr>
        <w:t>аж ферромарганца ПАО «КМЗ» в 2021</w:t>
      </w:r>
      <w:r w:rsidRPr="00DD4FA5">
        <w:rPr>
          <w:rFonts w:ascii="Arial" w:hAnsi="Arial" w:cs="Arial"/>
        </w:rPr>
        <w:t xml:space="preserve"> году составил </w:t>
      </w:r>
      <w:r>
        <w:rPr>
          <w:rFonts w:ascii="Arial" w:hAnsi="Arial" w:cs="Arial"/>
        </w:rPr>
        <w:t>82</w:t>
      </w:r>
      <w:r w:rsidRPr="00DD4FA5">
        <w:rPr>
          <w:rFonts w:ascii="Arial" w:hAnsi="Arial" w:cs="Arial"/>
        </w:rPr>
        <w:t xml:space="preserve"> тыс. тонн, ч</w:t>
      </w:r>
      <w:r>
        <w:rPr>
          <w:rFonts w:ascii="Arial" w:hAnsi="Arial" w:cs="Arial"/>
        </w:rPr>
        <w:t>то на 21,6 тыс.тонн больше, чем в 2020</w:t>
      </w:r>
      <w:r w:rsidRPr="00DD4FA5">
        <w:rPr>
          <w:rFonts w:ascii="Arial" w:hAnsi="Arial" w:cs="Arial"/>
        </w:rPr>
        <w:t xml:space="preserve"> году</w:t>
      </w:r>
      <w:r>
        <w:rPr>
          <w:rFonts w:ascii="Arial" w:hAnsi="Arial" w:cs="Arial"/>
        </w:rPr>
        <w:t xml:space="preserve"> (увеличилась отгрузка на экспорт)</w:t>
      </w:r>
      <w:r w:rsidRPr="00DD4FA5">
        <w:rPr>
          <w:rFonts w:ascii="Arial" w:hAnsi="Arial" w:cs="Arial"/>
        </w:rPr>
        <w:t>.</w:t>
      </w:r>
    </w:p>
    <w:p w:rsidR="00FB74C9" w:rsidRDefault="00FB74C9" w:rsidP="00FB74C9">
      <w:pPr>
        <w:spacing w:before="120" w:after="120"/>
        <w:ind w:left="45" w:right="45" w:firstLine="709"/>
        <w:jc w:val="both"/>
        <w:rPr>
          <w:rFonts w:ascii="Arial" w:hAnsi="Arial" w:cs="Arial"/>
        </w:rPr>
      </w:pPr>
      <w:r w:rsidRPr="008C1DAC">
        <w:rPr>
          <w:rFonts w:ascii="Arial" w:hAnsi="Arial" w:cs="Arial"/>
        </w:rPr>
        <w:t xml:space="preserve">Основные </w:t>
      </w:r>
      <w:r w:rsidR="006B59E4">
        <w:rPr>
          <w:rFonts w:ascii="Arial" w:hAnsi="Arial" w:cs="Arial"/>
        </w:rPr>
        <w:t>поставщики</w:t>
      </w:r>
      <w:r w:rsidRPr="008C1DAC">
        <w:rPr>
          <w:rFonts w:ascii="Arial" w:hAnsi="Arial" w:cs="Arial"/>
        </w:rPr>
        <w:t xml:space="preserve"> на рынке ферромарганца РФ и стран СНГ –</w:t>
      </w:r>
      <w:r w:rsidR="008E17F2">
        <w:rPr>
          <w:rFonts w:ascii="Arial" w:hAnsi="Arial" w:cs="Arial"/>
        </w:rPr>
        <w:t xml:space="preserve"> </w:t>
      </w:r>
      <w:r w:rsidRPr="008C1DAC">
        <w:rPr>
          <w:rFonts w:ascii="Arial" w:hAnsi="Arial" w:cs="Arial"/>
        </w:rPr>
        <w:t>АО «Саткинский чугуноплавильный завод»,</w:t>
      </w:r>
      <w:r>
        <w:rPr>
          <w:rFonts w:ascii="Arial" w:hAnsi="Arial" w:cs="Arial"/>
        </w:rPr>
        <w:t xml:space="preserve"> </w:t>
      </w:r>
      <w:r w:rsidR="008E17F2">
        <w:rPr>
          <w:rFonts w:ascii="Arial" w:hAnsi="Arial" w:cs="Arial"/>
        </w:rPr>
        <w:t xml:space="preserve">ПАО «КМЗ», </w:t>
      </w:r>
      <w:r w:rsidR="008E17F2" w:rsidRPr="008C1DAC">
        <w:rPr>
          <w:rFonts w:ascii="Arial" w:hAnsi="Arial" w:cs="Arial"/>
        </w:rPr>
        <w:t>группа «Приват» (Украина)</w:t>
      </w:r>
      <w:r w:rsidR="008E17F2">
        <w:rPr>
          <w:rFonts w:ascii="Arial" w:hAnsi="Arial" w:cs="Arial"/>
        </w:rPr>
        <w:t xml:space="preserve">, </w:t>
      </w:r>
      <w:r>
        <w:rPr>
          <w:rFonts w:ascii="Arial" w:hAnsi="Arial" w:cs="Arial"/>
        </w:rPr>
        <w:t>АО «Челябинский эл</w:t>
      </w:r>
      <w:r w:rsidR="008E17F2">
        <w:rPr>
          <w:rFonts w:ascii="Arial" w:hAnsi="Arial" w:cs="Arial"/>
        </w:rPr>
        <w:t>ектрометаллургический комбинат».</w:t>
      </w:r>
    </w:p>
    <w:p w:rsidR="00F56425" w:rsidRDefault="00CD42F8" w:rsidP="00A4258E">
      <w:pPr>
        <w:pStyle w:val="ab"/>
        <w:keepNext/>
        <w:spacing w:before="120" w:after="120"/>
        <w:ind w:firstLine="709"/>
        <w:jc w:val="center"/>
        <w:rPr>
          <w:rFonts w:ascii="Arial" w:hAnsi="Arial" w:cs="Arial"/>
          <w:i/>
          <w:szCs w:val="22"/>
        </w:rPr>
      </w:pPr>
      <w:r>
        <w:rPr>
          <w:rFonts w:ascii="Arial" w:hAnsi="Arial" w:cs="Arial"/>
          <w:i/>
          <w:szCs w:val="22"/>
        </w:rPr>
        <w:lastRenderedPageBreak/>
        <w:t xml:space="preserve">Рисунок </w:t>
      </w:r>
      <w:r w:rsidR="007D1D1D">
        <w:rPr>
          <w:rFonts w:ascii="Arial" w:hAnsi="Arial" w:cs="Arial"/>
          <w:i/>
          <w:szCs w:val="22"/>
        </w:rPr>
        <w:t>3</w:t>
      </w:r>
      <w:r w:rsidR="00F56425" w:rsidRPr="00383F08">
        <w:rPr>
          <w:rFonts w:ascii="Arial" w:hAnsi="Arial" w:cs="Arial"/>
          <w:i/>
          <w:szCs w:val="22"/>
        </w:rPr>
        <w:t>. Доли крупнейших поставщиков на рынке ферромарганца РФ в 20</w:t>
      </w:r>
      <w:r w:rsidR="00F56425">
        <w:rPr>
          <w:rFonts w:ascii="Arial" w:hAnsi="Arial" w:cs="Arial"/>
          <w:i/>
          <w:szCs w:val="22"/>
        </w:rPr>
        <w:t>21</w:t>
      </w:r>
      <w:r w:rsidR="00F56425" w:rsidRPr="00383F08">
        <w:rPr>
          <w:rFonts w:ascii="Arial" w:hAnsi="Arial" w:cs="Arial"/>
          <w:i/>
          <w:szCs w:val="22"/>
        </w:rPr>
        <w:t xml:space="preserve"> году</w:t>
      </w:r>
    </w:p>
    <w:p w:rsidR="00A4258E" w:rsidRPr="00383F08" w:rsidRDefault="00A4258E" w:rsidP="00A4258E">
      <w:pPr>
        <w:pStyle w:val="ab"/>
        <w:keepNext/>
        <w:spacing w:before="120" w:after="120"/>
        <w:ind w:firstLine="709"/>
        <w:jc w:val="center"/>
        <w:rPr>
          <w:rFonts w:ascii="Arial" w:hAnsi="Arial" w:cs="Arial"/>
          <w:i/>
          <w:szCs w:val="22"/>
        </w:rPr>
      </w:pPr>
      <w:r>
        <w:rPr>
          <w:noProof/>
        </w:rPr>
        <w:drawing>
          <wp:inline distT="0" distB="0" distL="0" distR="0">
            <wp:extent cx="5488305" cy="305562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56315" w:rsidRPr="00647853" w:rsidRDefault="00456315" w:rsidP="00456315">
      <w:pPr>
        <w:ind w:firstLine="708"/>
        <w:jc w:val="both"/>
        <w:rPr>
          <w:rFonts w:ascii="Arial" w:hAnsi="Arial" w:cs="Arial"/>
        </w:rPr>
      </w:pPr>
      <w:r w:rsidRPr="00DB3E12">
        <w:rPr>
          <w:rFonts w:ascii="Arial" w:hAnsi="Arial" w:cs="Arial"/>
        </w:rPr>
        <w:t>Объем рынка ферромарганца Российской Федерации ориентировочно состав</w:t>
      </w:r>
      <w:r>
        <w:rPr>
          <w:rFonts w:ascii="Arial" w:hAnsi="Arial" w:cs="Arial"/>
        </w:rPr>
        <w:t>ляет</w:t>
      </w:r>
      <w:r w:rsidRPr="00DB3E12">
        <w:rPr>
          <w:rFonts w:ascii="Arial" w:hAnsi="Arial" w:cs="Arial"/>
        </w:rPr>
        <w:t xml:space="preserve"> 15</w:t>
      </w:r>
      <w:r w:rsidR="008C6BC6">
        <w:rPr>
          <w:rFonts w:ascii="Arial" w:hAnsi="Arial" w:cs="Arial"/>
        </w:rPr>
        <w:t>0</w:t>
      </w:r>
      <w:r>
        <w:rPr>
          <w:rFonts w:ascii="Arial" w:hAnsi="Arial" w:cs="Arial"/>
        </w:rPr>
        <w:t>-15</w:t>
      </w:r>
      <w:r w:rsidR="008C6BC6">
        <w:rPr>
          <w:rFonts w:ascii="Arial" w:hAnsi="Arial" w:cs="Arial"/>
        </w:rPr>
        <w:t>7</w:t>
      </w:r>
      <w:r w:rsidRPr="00DB3E12">
        <w:rPr>
          <w:rFonts w:ascii="Arial" w:hAnsi="Arial" w:cs="Arial"/>
        </w:rPr>
        <w:t xml:space="preserve"> тыс. тонн. </w:t>
      </w:r>
      <w:r>
        <w:rPr>
          <w:rFonts w:ascii="Arial" w:hAnsi="Arial" w:cs="Arial"/>
        </w:rPr>
        <w:t xml:space="preserve">Основными поставщиками на внутреннем рынке по-прежнему являются ПАО «КМЗ» и АО «СЧПЗ». Их доля на рынке </w:t>
      </w:r>
      <w:r w:rsidRPr="00647853">
        <w:rPr>
          <w:rFonts w:ascii="Arial" w:hAnsi="Arial" w:cs="Arial"/>
        </w:rPr>
        <w:t xml:space="preserve">оценивается примерно в </w:t>
      </w:r>
      <w:r w:rsidR="00803EAF">
        <w:rPr>
          <w:rFonts w:ascii="Arial" w:hAnsi="Arial" w:cs="Arial"/>
        </w:rPr>
        <w:t>85</w:t>
      </w:r>
      <w:r w:rsidRPr="00647853">
        <w:rPr>
          <w:rFonts w:ascii="Arial" w:hAnsi="Arial" w:cs="Arial"/>
        </w:rPr>
        <w:t>-</w:t>
      </w:r>
      <w:r w:rsidR="00803EAF">
        <w:rPr>
          <w:rFonts w:ascii="Arial" w:hAnsi="Arial" w:cs="Arial"/>
        </w:rPr>
        <w:t>90</w:t>
      </w:r>
      <w:r w:rsidRPr="00647853">
        <w:rPr>
          <w:rFonts w:ascii="Arial" w:hAnsi="Arial" w:cs="Arial"/>
        </w:rPr>
        <w:t>%. Примерное разделение объемов поставки: 4</w:t>
      </w:r>
      <w:r w:rsidR="00803EAF">
        <w:rPr>
          <w:rFonts w:ascii="Arial" w:hAnsi="Arial" w:cs="Arial"/>
        </w:rPr>
        <w:t>0</w:t>
      </w:r>
      <w:r w:rsidRPr="00647853">
        <w:rPr>
          <w:rFonts w:ascii="Arial" w:hAnsi="Arial" w:cs="Arial"/>
        </w:rPr>
        <w:t>% - ПАО «КМЗ»; 5</w:t>
      </w:r>
      <w:r w:rsidR="00803EAF">
        <w:rPr>
          <w:rFonts w:ascii="Arial" w:hAnsi="Arial" w:cs="Arial"/>
        </w:rPr>
        <w:t>0</w:t>
      </w:r>
      <w:r w:rsidRPr="00647853">
        <w:rPr>
          <w:rFonts w:ascii="Arial" w:hAnsi="Arial" w:cs="Arial"/>
        </w:rPr>
        <w:t xml:space="preserve">% - АО «СЧПЗ». </w:t>
      </w:r>
      <w:r w:rsidRPr="00647853">
        <w:rPr>
          <w:rFonts w:ascii="Arial" w:eastAsia="Calibri" w:hAnsi="Arial" w:cs="Arial"/>
        </w:rPr>
        <w:t>Около 5-8% рынка РФ занимает ферромарганец</w:t>
      </w:r>
      <w:bookmarkStart w:id="13" w:name="_GoBack"/>
      <w:bookmarkEnd w:id="13"/>
      <w:r w:rsidRPr="00647853">
        <w:rPr>
          <w:rFonts w:ascii="Arial" w:eastAsia="Calibri" w:hAnsi="Arial" w:cs="Arial"/>
        </w:rPr>
        <w:t>, импортируемый из Украины, Индии, Китая и Европы.</w:t>
      </w:r>
      <w:r w:rsidRPr="00647853">
        <w:rPr>
          <w:rFonts w:ascii="Arial" w:hAnsi="Arial" w:cs="Arial"/>
        </w:rPr>
        <w:t xml:space="preserve"> Оставшийся объем отгружает АО «ЧЭМК».</w:t>
      </w:r>
    </w:p>
    <w:p w:rsidR="00456315" w:rsidRPr="00E92EE6" w:rsidRDefault="00456315" w:rsidP="00456315">
      <w:pPr>
        <w:spacing w:before="120" w:after="120"/>
        <w:ind w:left="45" w:right="45" w:firstLine="709"/>
        <w:jc w:val="both"/>
        <w:rPr>
          <w:rFonts w:ascii="Arial" w:hAnsi="Arial" w:cs="Arial"/>
        </w:rPr>
      </w:pPr>
      <w:r w:rsidRPr="00E92EE6">
        <w:rPr>
          <w:rFonts w:ascii="Arial" w:hAnsi="Arial" w:cs="Arial"/>
        </w:rPr>
        <w:t xml:space="preserve">Крупнейшие потребители на этом рынке представлены в таблице </w:t>
      </w:r>
      <w:r w:rsidR="006B7CE0">
        <w:rPr>
          <w:rFonts w:ascii="Arial" w:hAnsi="Arial" w:cs="Arial"/>
        </w:rPr>
        <w:t>3</w:t>
      </w:r>
      <w:r w:rsidRPr="00E92EE6">
        <w:rPr>
          <w:rFonts w:ascii="Arial" w:hAnsi="Arial" w:cs="Arial"/>
        </w:rPr>
        <w:t>.</w:t>
      </w:r>
    </w:p>
    <w:p w:rsidR="00460E9B" w:rsidRDefault="00460E9B" w:rsidP="00460E9B">
      <w:pPr>
        <w:spacing w:before="120" w:after="120"/>
        <w:ind w:left="45" w:right="45" w:firstLine="709"/>
        <w:jc w:val="center"/>
        <w:rPr>
          <w:rFonts w:ascii="Arial" w:hAnsi="Arial" w:cs="Arial"/>
          <w:i/>
          <w:szCs w:val="22"/>
        </w:rPr>
      </w:pPr>
      <w:r w:rsidRPr="004124A2">
        <w:rPr>
          <w:rFonts w:ascii="Arial" w:hAnsi="Arial" w:cs="Arial"/>
          <w:i/>
          <w:szCs w:val="22"/>
        </w:rPr>
        <w:t xml:space="preserve">Таблица </w:t>
      </w:r>
      <w:r w:rsidR="006B7CE0">
        <w:rPr>
          <w:rFonts w:ascii="Arial" w:hAnsi="Arial" w:cs="Arial"/>
          <w:i/>
          <w:szCs w:val="22"/>
        </w:rPr>
        <w:t>3</w:t>
      </w:r>
      <w:r w:rsidRPr="004124A2">
        <w:rPr>
          <w:rFonts w:ascii="Arial" w:hAnsi="Arial" w:cs="Arial"/>
          <w:i/>
          <w:szCs w:val="22"/>
        </w:rPr>
        <w:t>. Крупнейшие потребители ферромарганца в РФ</w:t>
      </w:r>
    </w:p>
    <w:tbl>
      <w:tblPr>
        <w:tblW w:w="7295" w:type="dxa"/>
        <w:jc w:val="center"/>
        <w:tblLook w:val="0000"/>
      </w:tblPr>
      <w:tblGrid>
        <w:gridCol w:w="5180"/>
        <w:gridCol w:w="2115"/>
      </w:tblGrid>
      <w:tr w:rsidR="008C6BC6" w:rsidRPr="006B59E4" w:rsidTr="006B59E4">
        <w:trPr>
          <w:cantSplit/>
          <w:trHeight w:val="20"/>
          <w:jc w:val="center"/>
        </w:trPr>
        <w:tc>
          <w:tcPr>
            <w:tcW w:w="5180" w:type="dxa"/>
            <w:tcBorders>
              <w:top w:val="single" w:sz="4" w:space="0" w:color="auto"/>
              <w:left w:val="single" w:sz="4" w:space="0" w:color="auto"/>
              <w:bottom w:val="single" w:sz="4" w:space="0" w:color="auto"/>
              <w:right w:val="nil"/>
            </w:tcBorders>
            <w:shd w:val="clear" w:color="auto" w:fill="C6D9F1" w:themeFill="text2" w:themeFillTint="33"/>
            <w:vAlign w:val="center"/>
          </w:tcPr>
          <w:p w:rsidR="008C6BC6" w:rsidRPr="006B59E4" w:rsidRDefault="008C6BC6" w:rsidP="006B59E4">
            <w:pPr>
              <w:jc w:val="center"/>
              <w:rPr>
                <w:rFonts w:ascii="Arial" w:hAnsi="Arial" w:cs="Arial"/>
                <w:b/>
                <w:bCs/>
              </w:rPr>
            </w:pPr>
            <w:r w:rsidRPr="006B59E4">
              <w:rPr>
                <w:rFonts w:ascii="Arial" w:hAnsi="Arial" w:cs="Arial"/>
                <w:b/>
                <w:bCs/>
                <w:sz w:val="22"/>
                <w:szCs w:val="22"/>
              </w:rPr>
              <w:t>Контрагент</w:t>
            </w:r>
          </w:p>
        </w:tc>
        <w:tc>
          <w:tcPr>
            <w:tcW w:w="2115" w:type="dxa"/>
            <w:tcBorders>
              <w:top w:val="single" w:sz="4" w:space="0" w:color="auto"/>
              <w:left w:val="nil"/>
              <w:bottom w:val="single" w:sz="4" w:space="0" w:color="auto"/>
              <w:right w:val="single" w:sz="4" w:space="0" w:color="auto"/>
            </w:tcBorders>
            <w:shd w:val="clear" w:color="auto" w:fill="C6D9F1" w:themeFill="text2" w:themeFillTint="33"/>
            <w:vAlign w:val="center"/>
          </w:tcPr>
          <w:p w:rsidR="008C6BC6" w:rsidRPr="006B59E4" w:rsidRDefault="008C6BC6" w:rsidP="006B59E4">
            <w:pPr>
              <w:jc w:val="center"/>
              <w:rPr>
                <w:rFonts w:ascii="Arial" w:hAnsi="Arial" w:cs="Arial"/>
                <w:b/>
                <w:bCs/>
              </w:rPr>
            </w:pPr>
            <w:r w:rsidRPr="006B59E4">
              <w:rPr>
                <w:rFonts w:ascii="Arial" w:hAnsi="Arial" w:cs="Arial"/>
                <w:b/>
                <w:bCs/>
                <w:sz w:val="22"/>
                <w:szCs w:val="22"/>
              </w:rPr>
              <w:t xml:space="preserve">Примерное годовое потребление, т </w:t>
            </w:r>
          </w:p>
        </w:tc>
      </w:tr>
      <w:tr w:rsidR="008C6BC6" w:rsidRPr="006B59E4" w:rsidTr="006B59E4">
        <w:trPr>
          <w:cantSplit/>
          <w:trHeight w:val="20"/>
          <w:jc w:val="center"/>
        </w:trPr>
        <w:tc>
          <w:tcPr>
            <w:tcW w:w="5180" w:type="dxa"/>
            <w:tcBorders>
              <w:top w:val="single" w:sz="4" w:space="0" w:color="auto"/>
              <w:left w:val="single" w:sz="4" w:space="0" w:color="auto"/>
              <w:bottom w:val="nil"/>
              <w:right w:val="nil"/>
            </w:tcBorders>
            <w:shd w:val="clear" w:color="auto" w:fill="auto"/>
            <w:noWrap/>
            <w:vAlign w:val="center"/>
          </w:tcPr>
          <w:p w:rsidR="008C6BC6" w:rsidRPr="006B59E4" w:rsidRDefault="008C6BC6" w:rsidP="006B59E4">
            <w:pPr>
              <w:rPr>
                <w:rFonts w:ascii="Arial" w:hAnsi="Arial" w:cs="Arial"/>
                <w:color w:val="000000"/>
              </w:rPr>
            </w:pPr>
            <w:r w:rsidRPr="006B59E4">
              <w:rPr>
                <w:rFonts w:ascii="Arial" w:hAnsi="Arial" w:cs="Arial"/>
                <w:color w:val="000000"/>
                <w:sz w:val="22"/>
                <w:szCs w:val="22"/>
              </w:rPr>
              <w:t>ПАО «НЛМК»</w:t>
            </w:r>
          </w:p>
        </w:tc>
        <w:tc>
          <w:tcPr>
            <w:tcW w:w="2115" w:type="dxa"/>
            <w:tcBorders>
              <w:top w:val="single" w:sz="4" w:space="0" w:color="auto"/>
              <w:left w:val="nil"/>
              <w:bottom w:val="nil"/>
              <w:right w:val="single" w:sz="4" w:space="0" w:color="auto"/>
            </w:tcBorders>
            <w:shd w:val="clear" w:color="auto" w:fill="auto"/>
            <w:noWrap/>
            <w:vAlign w:val="center"/>
          </w:tcPr>
          <w:p w:rsidR="008C6BC6" w:rsidRPr="006B59E4" w:rsidRDefault="008C6BC6" w:rsidP="006B59E4">
            <w:pPr>
              <w:jc w:val="right"/>
              <w:rPr>
                <w:rFonts w:ascii="Arial" w:hAnsi="Arial" w:cs="Arial"/>
              </w:rPr>
            </w:pPr>
            <w:r w:rsidRPr="006B59E4">
              <w:rPr>
                <w:rFonts w:ascii="Arial" w:hAnsi="Arial" w:cs="Arial"/>
                <w:sz w:val="22"/>
                <w:szCs w:val="22"/>
              </w:rPr>
              <w:t>42 000 – 49 000</w:t>
            </w:r>
          </w:p>
        </w:tc>
      </w:tr>
      <w:tr w:rsidR="008C6BC6" w:rsidRPr="006B59E4" w:rsidTr="006B59E4">
        <w:trPr>
          <w:cantSplit/>
          <w:trHeight w:val="20"/>
          <w:jc w:val="center"/>
        </w:trPr>
        <w:tc>
          <w:tcPr>
            <w:tcW w:w="5180" w:type="dxa"/>
            <w:tcBorders>
              <w:left w:val="single" w:sz="4" w:space="0" w:color="auto"/>
              <w:bottom w:val="nil"/>
              <w:right w:val="nil"/>
            </w:tcBorders>
            <w:shd w:val="clear" w:color="auto" w:fill="auto"/>
            <w:noWrap/>
            <w:vAlign w:val="center"/>
          </w:tcPr>
          <w:p w:rsidR="008C6BC6" w:rsidRPr="006B59E4" w:rsidRDefault="008C6BC6" w:rsidP="006B59E4">
            <w:pPr>
              <w:rPr>
                <w:rFonts w:ascii="Arial" w:hAnsi="Arial" w:cs="Arial"/>
                <w:color w:val="000000"/>
              </w:rPr>
            </w:pPr>
            <w:r w:rsidRPr="006B59E4">
              <w:rPr>
                <w:rFonts w:ascii="Arial" w:hAnsi="Arial" w:cs="Arial"/>
                <w:color w:val="000000"/>
                <w:sz w:val="22"/>
                <w:szCs w:val="22"/>
              </w:rPr>
              <w:t>ПАО «Северсталь»</w:t>
            </w:r>
          </w:p>
        </w:tc>
        <w:tc>
          <w:tcPr>
            <w:tcW w:w="2115" w:type="dxa"/>
            <w:tcBorders>
              <w:left w:val="nil"/>
              <w:bottom w:val="nil"/>
              <w:right w:val="single" w:sz="4" w:space="0" w:color="auto"/>
            </w:tcBorders>
            <w:shd w:val="clear" w:color="auto" w:fill="auto"/>
            <w:noWrap/>
            <w:vAlign w:val="center"/>
          </w:tcPr>
          <w:p w:rsidR="008C6BC6" w:rsidRPr="006B59E4" w:rsidRDefault="008C6BC6" w:rsidP="006B59E4">
            <w:pPr>
              <w:jc w:val="right"/>
              <w:rPr>
                <w:rFonts w:ascii="Arial" w:hAnsi="Arial" w:cs="Arial"/>
              </w:rPr>
            </w:pPr>
            <w:r w:rsidRPr="006B59E4">
              <w:rPr>
                <w:rFonts w:ascii="Arial" w:hAnsi="Arial" w:cs="Arial"/>
                <w:sz w:val="22"/>
                <w:szCs w:val="22"/>
              </w:rPr>
              <w:t>18 000 – 24 000</w:t>
            </w:r>
          </w:p>
        </w:tc>
      </w:tr>
      <w:tr w:rsidR="008C6BC6" w:rsidRPr="006B59E4" w:rsidTr="006B59E4">
        <w:trPr>
          <w:cantSplit/>
          <w:trHeight w:val="20"/>
          <w:jc w:val="center"/>
        </w:trPr>
        <w:tc>
          <w:tcPr>
            <w:tcW w:w="5180" w:type="dxa"/>
            <w:tcBorders>
              <w:top w:val="nil"/>
              <w:left w:val="single" w:sz="4" w:space="0" w:color="auto"/>
              <w:bottom w:val="nil"/>
              <w:right w:val="nil"/>
            </w:tcBorders>
            <w:shd w:val="clear" w:color="auto" w:fill="auto"/>
            <w:noWrap/>
            <w:vAlign w:val="center"/>
          </w:tcPr>
          <w:p w:rsidR="008C6BC6" w:rsidRPr="006B59E4" w:rsidRDefault="008C6BC6" w:rsidP="006B59E4">
            <w:pPr>
              <w:rPr>
                <w:rFonts w:ascii="Arial" w:hAnsi="Arial" w:cs="Arial"/>
                <w:color w:val="000000"/>
              </w:rPr>
            </w:pPr>
            <w:r w:rsidRPr="006B59E4">
              <w:rPr>
                <w:rFonts w:ascii="Arial" w:hAnsi="Arial" w:cs="Arial"/>
                <w:color w:val="000000"/>
                <w:sz w:val="22"/>
                <w:szCs w:val="22"/>
              </w:rPr>
              <w:t>ПАО «ЧМК» («Мечел»)</w:t>
            </w:r>
          </w:p>
        </w:tc>
        <w:tc>
          <w:tcPr>
            <w:tcW w:w="2115" w:type="dxa"/>
            <w:tcBorders>
              <w:top w:val="nil"/>
              <w:left w:val="nil"/>
              <w:bottom w:val="nil"/>
              <w:right w:val="single" w:sz="4" w:space="0" w:color="auto"/>
            </w:tcBorders>
            <w:shd w:val="clear" w:color="auto" w:fill="auto"/>
            <w:noWrap/>
            <w:vAlign w:val="center"/>
          </w:tcPr>
          <w:p w:rsidR="008C6BC6" w:rsidRPr="006B59E4" w:rsidRDefault="008C6BC6" w:rsidP="006B59E4">
            <w:pPr>
              <w:jc w:val="right"/>
              <w:rPr>
                <w:rFonts w:ascii="Arial" w:hAnsi="Arial" w:cs="Arial"/>
              </w:rPr>
            </w:pPr>
            <w:r w:rsidRPr="006B59E4">
              <w:rPr>
                <w:rFonts w:ascii="Arial" w:hAnsi="Arial" w:cs="Arial"/>
                <w:sz w:val="22"/>
                <w:szCs w:val="22"/>
              </w:rPr>
              <w:t>15 000 – 20 000</w:t>
            </w:r>
          </w:p>
        </w:tc>
      </w:tr>
      <w:tr w:rsidR="008C6BC6" w:rsidRPr="006B59E4" w:rsidTr="006B59E4">
        <w:trPr>
          <w:cantSplit/>
          <w:trHeight w:val="20"/>
          <w:jc w:val="center"/>
        </w:trPr>
        <w:tc>
          <w:tcPr>
            <w:tcW w:w="5180" w:type="dxa"/>
            <w:tcBorders>
              <w:top w:val="nil"/>
              <w:left w:val="single" w:sz="4" w:space="0" w:color="auto"/>
              <w:bottom w:val="nil"/>
              <w:right w:val="nil"/>
            </w:tcBorders>
            <w:shd w:val="clear" w:color="auto" w:fill="auto"/>
            <w:noWrap/>
            <w:vAlign w:val="center"/>
          </w:tcPr>
          <w:p w:rsidR="008C6BC6" w:rsidRPr="006B59E4" w:rsidRDefault="008C6BC6" w:rsidP="006B59E4">
            <w:pPr>
              <w:rPr>
                <w:rFonts w:ascii="Arial" w:hAnsi="Arial" w:cs="Arial"/>
                <w:color w:val="000000"/>
              </w:rPr>
            </w:pPr>
            <w:r w:rsidRPr="006B59E4">
              <w:rPr>
                <w:rFonts w:ascii="Arial" w:hAnsi="Arial" w:cs="Arial"/>
                <w:color w:val="000000"/>
                <w:sz w:val="22"/>
                <w:szCs w:val="22"/>
              </w:rPr>
              <w:t>ОАО «Магнитогорский металлургический комбинат»</w:t>
            </w:r>
          </w:p>
        </w:tc>
        <w:tc>
          <w:tcPr>
            <w:tcW w:w="2115" w:type="dxa"/>
            <w:tcBorders>
              <w:top w:val="nil"/>
              <w:left w:val="nil"/>
              <w:bottom w:val="nil"/>
              <w:right w:val="single" w:sz="4" w:space="0" w:color="auto"/>
            </w:tcBorders>
            <w:shd w:val="clear" w:color="auto" w:fill="auto"/>
            <w:noWrap/>
            <w:vAlign w:val="center"/>
          </w:tcPr>
          <w:p w:rsidR="008C6BC6" w:rsidRPr="006B59E4" w:rsidRDefault="008C6BC6" w:rsidP="006B59E4">
            <w:pPr>
              <w:jc w:val="right"/>
              <w:rPr>
                <w:rFonts w:ascii="Arial" w:hAnsi="Arial" w:cs="Arial"/>
              </w:rPr>
            </w:pPr>
            <w:r w:rsidRPr="006B59E4">
              <w:rPr>
                <w:rFonts w:ascii="Arial" w:hAnsi="Arial" w:cs="Arial"/>
                <w:sz w:val="22"/>
                <w:szCs w:val="22"/>
              </w:rPr>
              <w:t>15 000 – 20 000</w:t>
            </w:r>
          </w:p>
        </w:tc>
      </w:tr>
      <w:tr w:rsidR="008C6BC6" w:rsidRPr="006B59E4" w:rsidTr="006B59E4">
        <w:trPr>
          <w:cantSplit/>
          <w:trHeight w:val="20"/>
          <w:jc w:val="center"/>
        </w:trPr>
        <w:tc>
          <w:tcPr>
            <w:tcW w:w="5180" w:type="dxa"/>
            <w:tcBorders>
              <w:top w:val="nil"/>
              <w:left w:val="single" w:sz="4" w:space="0" w:color="auto"/>
              <w:bottom w:val="nil"/>
              <w:right w:val="nil"/>
            </w:tcBorders>
            <w:shd w:val="clear" w:color="auto" w:fill="auto"/>
            <w:noWrap/>
            <w:vAlign w:val="center"/>
          </w:tcPr>
          <w:p w:rsidR="008C6BC6" w:rsidRPr="006B59E4" w:rsidRDefault="008C6BC6" w:rsidP="006B59E4">
            <w:pPr>
              <w:rPr>
                <w:rFonts w:ascii="Arial" w:hAnsi="Arial" w:cs="Arial"/>
                <w:color w:val="000000"/>
              </w:rPr>
            </w:pPr>
            <w:r w:rsidRPr="006B59E4">
              <w:rPr>
                <w:rFonts w:ascii="Arial" w:hAnsi="Arial" w:cs="Arial"/>
                <w:color w:val="000000"/>
                <w:sz w:val="22"/>
                <w:szCs w:val="22"/>
              </w:rPr>
              <w:t>ЕВРАЗ групп</w:t>
            </w:r>
          </w:p>
        </w:tc>
        <w:tc>
          <w:tcPr>
            <w:tcW w:w="2115" w:type="dxa"/>
            <w:tcBorders>
              <w:top w:val="nil"/>
              <w:left w:val="nil"/>
              <w:bottom w:val="nil"/>
              <w:right w:val="single" w:sz="4" w:space="0" w:color="auto"/>
            </w:tcBorders>
            <w:shd w:val="clear" w:color="auto" w:fill="auto"/>
            <w:noWrap/>
            <w:vAlign w:val="center"/>
          </w:tcPr>
          <w:p w:rsidR="008C6BC6" w:rsidRPr="006B59E4" w:rsidRDefault="008C6BC6" w:rsidP="006B59E4">
            <w:pPr>
              <w:jc w:val="right"/>
              <w:rPr>
                <w:rFonts w:ascii="Arial" w:hAnsi="Arial" w:cs="Arial"/>
              </w:rPr>
            </w:pPr>
            <w:r w:rsidRPr="006B59E4">
              <w:rPr>
                <w:rFonts w:ascii="Arial" w:hAnsi="Arial" w:cs="Arial"/>
                <w:sz w:val="22"/>
                <w:szCs w:val="22"/>
              </w:rPr>
              <w:t>8 000 – 12 000</w:t>
            </w:r>
          </w:p>
        </w:tc>
      </w:tr>
      <w:tr w:rsidR="008C6BC6" w:rsidRPr="006B59E4" w:rsidTr="006B59E4">
        <w:trPr>
          <w:cantSplit/>
          <w:trHeight w:val="20"/>
          <w:jc w:val="center"/>
        </w:trPr>
        <w:tc>
          <w:tcPr>
            <w:tcW w:w="5180" w:type="dxa"/>
            <w:tcBorders>
              <w:top w:val="nil"/>
              <w:left w:val="single" w:sz="4" w:space="0" w:color="auto"/>
              <w:right w:val="nil"/>
            </w:tcBorders>
            <w:shd w:val="clear" w:color="auto" w:fill="auto"/>
            <w:noWrap/>
            <w:vAlign w:val="center"/>
          </w:tcPr>
          <w:p w:rsidR="008C6BC6" w:rsidRPr="006B59E4" w:rsidRDefault="008C6BC6" w:rsidP="006B59E4">
            <w:pPr>
              <w:rPr>
                <w:rFonts w:ascii="Arial" w:hAnsi="Arial" w:cs="Arial"/>
                <w:color w:val="000000"/>
              </w:rPr>
            </w:pPr>
            <w:r w:rsidRPr="006B59E4">
              <w:rPr>
                <w:rFonts w:ascii="Arial" w:hAnsi="Arial" w:cs="Arial"/>
                <w:color w:val="000000"/>
                <w:sz w:val="22"/>
                <w:szCs w:val="22"/>
              </w:rPr>
              <w:t>ООО УК «Металлоинвест»</w:t>
            </w:r>
          </w:p>
        </w:tc>
        <w:tc>
          <w:tcPr>
            <w:tcW w:w="2115" w:type="dxa"/>
            <w:tcBorders>
              <w:top w:val="nil"/>
              <w:left w:val="nil"/>
              <w:right w:val="single" w:sz="4" w:space="0" w:color="auto"/>
            </w:tcBorders>
            <w:shd w:val="clear" w:color="auto" w:fill="auto"/>
            <w:noWrap/>
            <w:vAlign w:val="center"/>
          </w:tcPr>
          <w:p w:rsidR="008C6BC6" w:rsidRPr="006B59E4" w:rsidRDefault="008C6BC6" w:rsidP="006B59E4">
            <w:pPr>
              <w:jc w:val="right"/>
              <w:rPr>
                <w:rFonts w:ascii="Arial" w:hAnsi="Arial" w:cs="Arial"/>
              </w:rPr>
            </w:pPr>
            <w:r w:rsidRPr="006B59E4">
              <w:rPr>
                <w:rFonts w:ascii="Arial" w:hAnsi="Arial" w:cs="Arial"/>
                <w:sz w:val="22"/>
                <w:szCs w:val="22"/>
              </w:rPr>
              <w:t>5 000 – 7 000</w:t>
            </w:r>
          </w:p>
        </w:tc>
      </w:tr>
      <w:tr w:rsidR="006B59E4" w:rsidRPr="006B59E4" w:rsidTr="006B59E4">
        <w:trPr>
          <w:cantSplit/>
          <w:trHeight w:val="20"/>
          <w:jc w:val="center"/>
        </w:trPr>
        <w:tc>
          <w:tcPr>
            <w:tcW w:w="5180" w:type="dxa"/>
            <w:tcBorders>
              <w:left w:val="single" w:sz="4" w:space="0" w:color="auto"/>
              <w:bottom w:val="single" w:sz="4" w:space="0" w:color="auto"/>
              <w:right w:val="nil"/>
            </w:tcBorders>
            <w:shd w:val="clear" w:color="auto" w:fill="auto"/>
            <w:noWrap/>
            <w:vAlign w:val="center"/>
          </w:tcPr>
          <w:p w:rsidR="006B59E4" w:rsidRPr="006B59E4" w:rsidRDefault="006B59E4" w:rsidP="006B59E4">
            <w:pPr>
              <w:rPr>
                <w:rFonts w:ascii="Arial" w:hAnsi="Arial" w:cs="Arial"/>
                <w:color w:val="000000"/>
              </w:rPr>
            </w:pPr>
            <w:r w:rsidRPr="006B59E4">
              <w:rPr>
                <w:rFonts w:ascii="Arial" w:hAnsi="Arial" w:cs="Arial"/>
                <w:color w:val="000000"/>
                <w:sz w:val="22"/>
                <w:szCs w:val="22"/>
              </w:rPr>
              <w:t>Прочие</w:t>
            </w:r>
          </w:p>
        </w:tc>
        <w:tc>
          <w:tcPr>
            <w:tcW w:w="2115" w:type="dxa"/>
            <w:tcBorders>
              <w:left w:val="nil"/>
              <w:bottom w:val="single" w:sz="4" w:space="0" w:color="auto"/>
              <w:right w:val="single" w:sz="4" w:space="0" w:color="auto"/>
            </w:tcBorders>
            <w:shd w:val="clear" w:color="auto" w:fill="auto"/>
            <w:noWrap/>
            <w:vAlign w:val="center"/>
          </w:tcPr>
          <w:p w:rsidR="006B59E4" w:rsidRPr="006B59E4" w:rsidRDefault="006B59E4" w:rsidP="006B59E4">
            <w:pPr>
              <w:jc w:val="right"/>
              <w:rPr>
                <w:rFonts w:ascii="Arial" w:hAnsi="Arial" w:cs="Arial"/>
              </w:rPr>
            </w:pPr>
            <w:r w:rsidRPr="006B59E4">
              <w:rPr>
                <w:rFonts w:ascii="Arial" w:hAnsi="Arial" w:cs="Arial"/>
                <w:sz w:val="22"/>
                <w:szCs w:val="22"/>
              </w:rPr>
              <w:t>20 000 – 25 000</w:t>
            </w:r>
          </w:p>
        </w:tc>
      </w:tr>
      <w:tr w:rsidR="006B59E4" w:rsidRPr="006B59E4" w:rsidTr="006B59E4">
        <w:trPr>
          <w:cantSplit/>
          <w:trHeight w:val="20"/>
          <w:jc w:val="center"/>
        </w:trPr>
        <w:tc>
          <w:tcPr>
            <w:tcW w:w="5180" w:type="dxa"/>
            <w:tcBorders>
              <w:top w:val="single" w:sz="4" w:space="0" w:color="auto"/>
              <w:left w:val="single" w:sz="4" w:space="0" w:color="auto"/>
              <w:bottom w:val="single" w:sz="4" w:space="0" w:color="auto"/>
              <w:right w:val="nil"/>
            </w:tcBorders>
            <w:shd w:val="clear" w:color="auto" w:fill="auto"/>
            <w:noWrap/>
            <w:vAlign w:val="center"/>
          </w:tcPr>
          <w:p w:rsidR="006B59E4" w:rsidRPr="006B59E4" w:rsidRDefault="006B59E4" w:rsidP="006B59E4">
            <w:pPr>
              <w:rPr>
                <w:rFonts w:ascii="Arial" w:hAnsi="Arial" w:cs="Arial"/>
                <w:color w:val="000000"/>
              </w:rPr>
            </w:pPr>
            <w:r w:rsidRPr="006B59E4">
              <w:rPr>
                <w:rFonts w:ascii="Arial" w:hAnsi="Arial" w:cs="Arial"/>
                <w:color w:val="000000"/>
                <w:sz w:val="22"/>
                <w:szCs w:val="22"/>
              </w:rPr>
              <w:t>ИТОГО</w:t>
            </w:r>
          </w:p>
        </w:tc>
        <w:tc>
          <w:tcPr>
            <w:tcW w:w="2115" w:type="dxa"/>
            <w:tcBorders>
              <w:top w:val="single" w:sz="4" w:space="0" w:color="auto"/>
              <w:left w:val="nil"/>
              <w:bottom w:val="single" w:sz="4" w:space="0" w:color="auto"/>
              <w:right w:val="single" w:sz="4" w:space="0" w:color="auto"/>
            </w:tcBorders>
            <w:shd w:val="clear" w:color="auto" w:fill="auto"/>
            <w:noWrap/>
            <w:vAlign w:val="center"/>
          </w:tcPr>
          <w:p w:rsidR="006B59E4" w:rsidRPr="006B59E4" w:rsidRDefault="006B59E4" w:rsidP="006B59E4">
            <w:pPr>
              <w:jc w:val="right"/>
              <w:rPr>
                <w:rFonts w:ascii="Arial" w:hAnsi="Arial" w:cs="Arial"/>
              </w:rPr>
            </w:pPr>
            <w:r w:rsidRPr="006B59E4">
              <w:rPr>
                <w:rFonts w:ascii="Arial" w:hAnsi="Arial" w:cs="Arial"/>
                <w:sz w:val="22"/>
                <w:szCs w:val="22"/>
              </w:rPr>
              <w:t>123 000 – 157 000</w:t>
            </w:r>
          </w:p>
        </w:tc>
      </w:tr>
    </w:tbl>
    <w:p w:rsidR="00460E9B" w:rsidRDefault="00460E9B" w:rsidP="003F459F">
      <w:pPr>
        <w:pStyle w:val="ab"/>
        <w:keepNext/>
        <w:spacing w:before="120" w:after="120"/>
        <w:ind w:left="0" w:firstLine="709"/>
        <w:jc w:val="center"/>
        <w:rPr>
          <w:rFonts w:ascii="Arial" w:hAnsi="Arial" w:cs="Arial"/>
          <w:i/>
          <w:szCs w:val="22"/>
        </w:rPr>
      </w:pPr>
      <w:r w:rsidRPr="000A1D83">
        <w:rPr>
          <w:rFonts w:ascii="Arial" w:hAnsi="Arial" w:cs="Arial"/>
          <w:i/>
          <w:szCs w:val="22"/>
        </w:rPr>
        <w:lastRenderedPageBreak/>
        <w:t xml:space="preserve">Рисунок </w:t>
      </w:r>
      <w:r w:rsidR="007D1D1D">
        <w:rPr>
          <w:rFonts w:ascii="Arial" w:hAnsi="Arial" w:cs="Arial"/>
          <w:i/>
          <w:szCs w:val="22"/>
        </w:rPr>
        <w:t>4</w:t>
      </w:r>
      <w:r w:rsidRPr="000A1D83">
        <w:rPr>
          <w:rFonts w:ascii="Arial" w:hAnsi="Arial" w:cs="Arial"/>
          <w:i/>
          <w:szCs w:val="22"/>
        </w:rPr>
        <w:t>. Доли крупнейших потребителей ферромарганца в РФ в 20</w:t>
      </w:r>
      <w:r w:rsidR="000A288F">
        <w:rPr>
          <w:rFonts w:ascii="Arial" w:hAnsi="Arial" w:cs="Arial"/>
          <w:i/>
          <w:szCs w:val="22"/>
        </w:rPr>
        <w:t>2</w:t>
      </w:r>
      <w:r w:rsidR="006B59E4">
        <w:rPr>
          <w:rFonts w:ascii="Arial" w:hAnsi="Arial" w:cs="Arial"/>
          <w:i/>
          <w:szCs w:val="22"/>
        </w:rPr>
        <w:t>1</w:t>
      </w:r>
      <w:r w:rsidRPr="000A1D83">
        <w:rPr>
          <w:rFonts w:ascii="Arial" w:hAnsi="Arial" w:cs="Arial"/>
          <w:i/>
          <w:szCs w:val="22"/>
        </w:rPr>
        <w:t xml:space="preserve"> году</w:t>
      </w:r>
    </w:p>
    <w:p w:rsidR="006B59E4" w:rsidRDefault="006B59E4" w:rsidP="006B59E4">
      <w:pPr>
        <w:pStyle w:val="ab"/>
        <w:keepNext/>
        <w:spacing w:before="120" w:after="120"/>
        <w:ind w:left="0" w:firstLine="709"/>
        <w:rPr>
          <w:rFonts w:ascii="Arial" w:hAnsi="Arial" w:cs="Arial"/>
          <w:i/>
          <w:szCs w:val="22"/>
        </w:rPr>
      </w:pPr>
      <w:r>
        <w:rPr>
          <w:noProof/>
        </w:rPr>
        <w:drawing>
          <wp:inline distT="0" distB="0" distL="0" distR="0">
            <wp:extent cx="5194935" cy="3162300"/>
            <wp:effectExtent l="0" t="0" r="571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E2730" w:rsidRPr="00BE3F3E" w:rsidRDefault="004E2730" w:rsidP="00530215">
      <w:pPr>
        <w:pStyle w:val="3"/>
        <w:spacing w:before="120" w:after="120"/>
        <w:rPr>
          <w:rFonts w:ascii="Arial" w:hAnsi="Arial" w:cs="Arial"/>
          <w:b w:val="0"/>
          <w:i/>
          <w:color w:val="auto"/>
          <w:sz w:val="28"/>
        </w:rPr>
      </w:pPr>
      <w:bookmarkStart w:id="14" w:name="_Toc415487670"/>
      <w:bookmarkStart w:id="15" w:name="_Toc100678739"/>
      <w:r w:rsidRPr="00905941">
        <w:rPr>
          <w:rFonts w:ascii="Arial" w:hAnsi="Arial" w:cs="Arial"/>
          <w:b w:val="0"/>
          <w:i/>
          <w:color w:val="auto"/>
          <w:sz w:val="28"/>
        </w:rPr>
        <w:t>Объёмы реализации неосновной продукции</w:t>
      </w:r>
      <w:bookmarkEnd w:id="14"/>
      <w:bookmarkEnd w:id="15"/>
    </w:p>
    <w:p w:rsidR="00831747" w:rsidRDefault="00306F12" w:rsidP="00306F12">
      <w:pPr>
        <w:pStyle w:val="a5"/>
        <w:spacing w:before="120" w:after="120"/>
        <w:ind w:firstLine="709"/>
        <w:rPr>
          <w:rFonts w:ascii="Arial" w:hAnsi="Arial" w:cs="Arial"/>
          <w:szCs w:val="22"/>
        </w:rPr>
      </w:pPr>
      <w:r w:rsidRPr="00BE3F3E">
        <w:rPr>
          <w:rFonts w:ascii="Arial" w:hAnsi="Arial" w:cs="Arial"/>
          <w:szCs w:val="22"/>
        </w:rPr>
        <w:t>Выручка от реализации неосновных видов продукции в 20</w:t>
      </w:r>
      <w:r w:rsidR="009B352E">
        <w:rPr>
          <w:rFonts w:ascii="Arial" w:hAnsi="Arial" w:cs="Arial"/>
          <w:szCs w:val="22"/>
        </w:rPr>
        <w:t>2</w:t>
      </w:r>
      <w:r w:rsidR="0050794B">
        <w:rPr>
          <w:rFonts w:ascii="Arial" w:hAnsi="Arial" w:cs="Arial"/>
          <w:szCs w:val="22"/>
        </w:rPr>
        <w:t>1</w:t>
      </w:r>
      <w:r w:rsidRPr="00BE3F3E">
        <w:rPr>
          <w:rFonts w:ascii="Arial" w:hAnsi="Arial" w:cs="Arial"/>
          <w:szCs w:val="22"/>
        </w:rPr>
        <w:t xml:space="preserve"> году составила </w:t>
      </w:r>
      <w:r w:rsidR="0050794B">
        <w:rPr>
          <w:rFonts w:ascii="Arial" w:hAnsi="Arial" w:cs="Arial"/>
          <w:szCs w:val="22"/>
        </w:rPr>
        <w:t>427</w:t>
      </w:r>
      <w:r w:rsidR="0006626C">
        <w:rPr>
          <w:rFonts w:ascii="Arial" w:hAnsi="Arial" w:cs="Arial"/>
          <w:szCs w:val="22"/>
        </w:rPr>
        <w:t>,</w:t>
      </w:r>
      <w:r w:rsidR="0050794B">
        <w:rPr>
          <w:rFonts w:ascii="Arial" w:hAnsi="Arial" w:cs="Arial"/>
          <w:szCs w:val="22"/>
        </w:rPr>
        <w:t>06</w:t>
      </w:r>
      <w:r w:rsidRPr="00BE3F3E">
        <w:rPr>
          <w:rFonts w:ascii="Arial" w:hAnsi="Arial" w:cs="Arial"/>
          <w:szCs w:val="22"/>
        </w:rPr>
        <w:t xml:space="preserve"> млн. руб., что на </w:t>
      </w:r>
      <w:r w:rsidR="009B352E">
        <w:rPr>
          <w:rFonts w:ascii="Arial" w:hAnsi="Arial" w:cs="Arial"/>
          <w:szCs w:val="22"/>
        </w:rPr>
        <w:t>4</w:t>
      </w:r>
      <w:r w:rsidR="0050794B">
        <w:rPr>
          <w:rFonts w:ascii="Arial" w:hAnsi="Arial" w:cs="Arial"/>
          <w:szCs w:val="22"/>
        </w:rPr>
        <w:t>6</w:t>
      </w:r>
      <w:r w:rsidR="008A6476" w:rsidRPr="00BE3F3E">
        <w:rPr>
          <w:rFonts w:ascii="Arial" w:hAnsi="Arial" w:cs="Arial"/>
          <w:szCs w:val="22"/>
        </w:rPr>
        <w:t>,</w:t>
      </w:r>
      <w:r w:rsidR="0050794B">
        <w:rPr>
          <w:rFonts w:ascii="Arial" w:hAnsi="Arial" w:cs="Arial"/>
          <w:szCs w:val="22"/>
        </w:rPr>
        <w:t>21</w:t>
      </w:r>
      <w:r w:rsidRPr="00BE3F3E">
        <w:rPr>
          <w:rFonts w:ascii="Arial" w:hAnsi="Arial" w:cs="Arial"/>
          <w:szCs w:val="22"/>
        </w:rPr>
        <w:t xml:space="preserve"> млн. руб. </w:t>
      </w:r>
      <w:r w:rsidR="009B352E">
        <w:rPr>
          <w:rFonts w:ascii="Arial" w:hAnsi="Arial" w:cs="Arial"/>
          <w:szCs w:val="22"/>
        </w:rPr>
        <w:t>больше</w:t>
      </w:r>
      <w:r w:rsidRPr="00BE3F3E">
        <w:rPr>
          <w:rFonts w:ascii="Arial" w:hAnsi="Arial" w:cs="Arial"/>
          <w:szCs w:val="22"/>
        </w:rPr>
        <w:t xml:space="preserve"> уровня 20</w:t>
      </w:r>
      <w:r w:rsidR="0050794B">
        <w:rPr>
          <w:rFonts w:ascii="Arial" w:hAnsi="Arial" w:cs="Arial"/>
          <w:szCs w:val="22"/>
        </w:rPr>
        <w:t>20</w:t>
      </w:r>
      <w:r w:rsidRPr="00BE3F3E">
        <w:rPr>
          <w:rFonts w:ascii="Arial" w:hAnsi="Arial" w:cs="Arial"/>
          <w:szCs w:val="22"/>
        </w:rPr>
        <w:t xml:space="preserve"> года.</w:t>
      </w:r>
    </w:p>
    <w:p w:rsidR="0050794B" w:rsidRDefault="0050794B" w:rsidP="00306F12">
      <w:pPr>
        <w:pStyle w:val="a5"/>
        <w:spacing w:before="120" w:after="120"/>
        <w:ind w:firstLine="709"/>
        <w:rPr>
          <w:rFonts w:ascii="Arial" w:hAnsi="Arial" w:cs="Arial"/>
          <w:szCs w:val="22"/>
        </w:rPr>
      </w:pPr>
      <w:r>
        <w:rPr>
          <w:rFonts w:ascii="Arial" w:hAnsi="Arial" w:cs="Arial"/>
          <w:szCs w:val="22"/>
        </w:rPr>
        <w:t>Рост выручки от реализации коксовой мелочи в 2021 году</w:t>
      </w:r>
      <w:r w:rsidR="00F20A8E">
        <w:rPr>
          <w:rFonts w:ascii="Arial" w:hAnsi="Arial" w:cs="Arial"/>
          <w:szCs w:val="22"/>
        </w:rPr>
        <w:t xml:space="preserve"> по отношению к 2020 году</w:t>
      </w:r>
      <w:r>
        <w:rPr>
          <w:rFonts w:ascii="Arial" w:hAnsi="Arial" w:cs="Arial"/>
          <w:szCs w:val="22"/>
        </w:rPr>
        <w:t xml:space="preserve"> составил 39,64 млн.</w:t>
      </w:r>
      <w:r w:rsidR="00F20A8E">
        <w:rPr>
          <w:rFonts w:ascii="Arial" w:hAnsi="Arial" w:cs="Arial"/>
          <w:szCs w:val="22"/>
        </w:rPr>
        <w:t xml:space="preserve"> </w:t>
      </w:r>
      <w:r>
        <w:rPr>
          <w:rFonts w:ascii="Arial" w:hAnsi="Arial" w:cs="Arial"/>
          <w:szCs w:val="22"/>
        </w:rPr>
        <w:t>руб., щебня – на 10,47 млн.</w:t>
      </w:r>
      <w:r w:rsidR="00F20A8E">
        <w:rPr>
          <w:rFonts w:ascii="Arial" w:hAnsi="Arial" w:cs="Arial"/>
          <w:szCs w:val="22"/>
        </w:rPr>
        <w:t xml:space="preserve"> </w:t>
      </w:r>
      <w:r>
        <w:rPr>
          <w:rFonts w:ascii="Arial" w:hAnsi="Arial" w:cs="Arial"/>
          <w:szCs w:val="22"/>
        </w:rPr>
        <w:t>руб., шлака магнитоактивного – на 10,32 млн.</w:t>
      </w:r>
      <w:r w:rsidR="00F20A8E">
        <w:rPr>
          <w:rFonts w:ascii="Arial" w:hAnsi="Arial" w:cs="Arial"/>
          <w:szCs w:val="22"/>
        </w:rPr>
        <w:t xml:space="preserve"> </w:t>
      </w:r>
      <w:r>
        <w:rPr>
          <w:rFonts w:ascii="Arial" w:hAnsi="Arial" w:cs="Arial"/>
          <w:szCs w:val="22"/>
        </w:rPr>
        <w:t>руб., шлака отвального – 9,55</w:t>
      </w:r>
      <w:r w:rsidRPr="0050794B">
        <w:rPr>
          <w:rFonts w:ascii="Arial" w:hAnsi="Arial" w:cs="Arial"/>
          <w:szCs w:val="22"/>
        </w:rPr>
        <w:t xml:space="preserve"> </w:t>
      </w:r>
      <w:r>
        <w:rPr>
          <w:rFonts w:ascii="Arial" w:hAnsi="Arial" w:cs="Arial"/>
          <w:szCs w:val="22"/>
        </w:rPr>
        <w:t>млн.</w:t>
      </w:r>
      <w:r w:rsidR="00F20A8E">
        <w:rPr>
          <w:rFonts w:ascii="Arial" w:hAnsi="Arial" w:cs="Arial"/>
          <w:szCs w:val="22"/>
        </w:rPr>
        <w:t xml:space="preserve"> </w:t>
      </w:r>
      <w:r>
        <w:rPr>
          <w:rFonts w:ascii="Arial" w:hAnsi="Arial" w:cs="Arial"/>
          <w:szCs w:val="22"/>
        </w:rPr>
        <w:t>руб., МОД – 9,51 млн.</w:t>
      </w:r>
      <w:r w:rsidR="00F20A8E">
        <w:rPr>
          <w:rFonts w:ascii="Arial" w:hAnsi="Arial" w:cs="Arial"/>
          <w:szCs w:val="22"/>
        </w:rPr>
        <w:t xml:space="preserve"> </w:t>
      </w:r>
      <w:r>
        <w:rPr>
          <w:rFonts w:ascii="Arial" w:hAnsi="Arial" w:cs="Arial"/>
          <w:szCs w:val="22"/>
        </w:rPr>
        <w:t xml:space="preserve">руб., чугуна ковшевого </w:t>
      </w:r>
      <w:r w:rsidR="00F20A8E">
        <w:rPr>
          <w:rFonts w:ascii="Arial" w:hAnsi="Arial" w:cs="Arial"/>
          <w:szCs w:val="22"/>
        </w:rPr>
        <w:t xml:space="preserve">– </w:t>
      </w:r>
      <w:r>
        <w:rPr>
          <w:rFonts w:ascii="Arial" w:hAnsi="Arial" w:cs="Arial"/>
          <w:szCs w:val="22"/>
        </w:rPr>
        <w:t>на 2,45 млн.</w:t>
      </w:r>
      <w:r w:rsidR="00F20A8E">
        <w:rPr>
          <w:rFonts w:ascii="Arial" w:hAnsi="Arial" w:cs="Arial"/>
          <w:szCs w:val="22"/>
        </w:rPr>
        <w:t xml:space="preserve"> </w:t>
      </w:r>
      <w:r>
        <w:rPr>
          <w:rFonts w:ascii="Arial" w:hAnsi="Arial" w:cs="Arial"/>
          <w:szCs w:val="22"/>
        </w:rPr>
        <w:t>руб.  При этом выручка от реализации ЧЛДШ в 2021 году снизилась по отношению к 2020 году на 29,32 млн.</w:t>
      </w:r>
      <w:r w:rsidR="00F20A8E">
        <w:rPr>
          <w:rFonts w:ascii="Arial" w:hAnsi="Arial" w:cs="Arial"/>
          <w:szCs w:val="22"/>
        </w:rPr>
        <w:t xml:space="preserve"> </w:t>
      </w:r>
      <w:r>
        <w:rPr>
          <w:rFonts w:ascii="Arial" w:hAnsi="Arial" w:cs="Arial"/>
          <w:szCs w:val="22"/>
        </w:rPr>
        <w:t>руб., металлолома – на 4,24 млн.</w:t>
      </w:r>
      <w:r w:rsidR="00F20A8E">
        <w:rPr>
          <w:rFonts w:ascii="Arial" w:hAnsi="Arial" w:cs="Arial"/>
          <w:szCs w:val="22"/>
        </w:rPr>
        <w:t xml:space="preserve"> </w:t>
      </w:r>
      <w:r>
        <w:rPr>
          <w:rFonts w:ascii="Arial" w:hAnsi="Arial" w:cs="Arial"/>
          <w:szCs w:val="22"/>
        </w:rPr>
        <w:t>руб., литейной продукции – на 0,65 млн.</w:t>
      </w:r>
      <w:r w:rsidR="00F20A8E">
        <w:rPr>
          <w:rFonts w:ascii="Arial" w:hAnsi="Arial" w:cs="Arial"/>
          <w:szCs w:val="22"/>
        </w:rPr>
        <w:t xml:space="preserve"> </w:t>
      </w:r>
      <w:r>
        <w:rPr>
          <w:rFonts w:ascii="Arial" w:hAnsi="Arial" w:cs="Arial"/>
          <w:szCs w:val="22"/>
        </w:rPr>
        <w:t>руб.</w:t>
      </w:r>
    </w:p>
    <w:p w:rsidR="00306F12" w:rsidRPr="007E11E6" w:rsidRDefault="00306F12" w:rsidP="00306F12">
      <w:pPr>
        <w:pStyle w:val="a5"/>
        <w:spacing w:before="120" w:after="120"/>
        <w:ind w:firstLine="709"/>
        <w:rPr>
          <w:rFonts w:ascii="Arial" w:hAnsi="Arial" w:cs="Arial"/>
          <w:szCs w:val="22"/>
        </w:rPr>
      </w:pPr>
      <w:r w:rsidRPr="007E11E6">
        <w:rPr>
          <w:rFonts w:ascii="Arial" w:hAnsi="Arial" w:cs="Arial"/>
          <w:szCs w:val="22"/>
        </w:rPr>
        <w:t xml:space="preserve">Динамика объемов реализации неосновной продукции ПАО «КМЗ» представлена в таблице </w:t>
      </w:r>
      <w:r w:rsidR="006B7CE0">
        <w:rPr>
          <w:rFonts w:ascii="Arial" w:hAnsi="Arial" w:cs="Arial"/>
          <w:szCs w:val="22"/>
        </w:rPr>
        <w:t>4</w:t>
      </w:r>
      <w:r w:rsidRPr="007E11E6">
        <w:rPr>
          <w:rFonts w:ascii="Arial" w:hAnsi="Arial" w:cs="Arial"/>
          <w:szCs w:val="22"/>
        </w:rPr>
        <w:t xml:space="preserve">. </w:t>
      </w:r>
    </w:p>
    <w:p w:rsidR="00306F12" w:rsidRPr="007E11E6" w:rsidRDefault="00306F12" w:rsidP="00306F12">
      <w:pPr>
        <w:pStyle w:val="a5"/>
        <w:spacing w:before="120" w:after="120"/>
        <w:ind w:firstLine="0"/>
        <w:jc w:val="center"/>
        <w:rPr>
          <w:rFonts w:ascii="Arial" w:hAnsi="Arial" w:cs="Arial"/>
          <w:szCs w:val="22"/>
        </w:rPr>
      </w:pPr>
      <w:r w:rsidRPr="007E11E6">
        <w:rPr>
          <w:rFonts w:ascii="Arial" w:hAnsi="Arial" w:cs="Arial"/>
          <w:szCs w:val="22"/>
        </w:rPr>
        <w:t xml:space="preserve">Таблица </w:t>
      </w:r>
      <w:r w:rsidR="006B7CE0">
        <w:rPr>
          <w:rFonts w:ascii="Arial" w:hAnsi="Arial" w:cs="Arial"/>
          <w:szCs w:val="22"/>
        </w:rPr>
        <w:t>4</w:t>
      </w:r>
      <w:r w:rsidRPr="007E11E6">
        <w:rPr>
          <w:rFonts w:ascii="Arial" w:hAnsi="Arial" w:cs="Arial"/>
          <w:szCs w:val="22"/>
        </w:rPr>
        <w:t>. Объемы реализации неосновной продукции ПАО «КМЗ»</w:t>
      </w:r>
    </w:p>
    <w:tbl>
      <w:tblPr>
        <w:tblW w:w="10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80"/>
        <w:gridCol w:w="945"/>
        <w:gridCol w:w="851"/>
        <w:gridCol w:w="251"/>
        <w:gridCol w:w="992"/>
        <w:gridCol w:w="1134"/>
        <w:gridCol w:w="1134"/>
        <w:gridCol w:w="851"/>
        <w:gridCol w:w="851"/>
      </w:tblGrid>
      <w:tr w:rsidR="0050794B" w:rsidRPr="00044C17" w:rsidTr="002F339F">
        <w:trPr>
          <w:trHeight w:val="255"/>
          <w:tblHeader/>
          <w:jc w:val="center"/>
        </w:trPr>
        <w:tc>
          <w:tcPr>
            <w:tcW w:w="3080" w:type="dxa"/>
            <w:vMerge w:val="restart"/>
            <w:shd w:val="clear" w:color="auto" w:fill="C6D9F1" w:themeFill="text2" w:themeFillTint="33"/>
            <w:vAlign w:val="center"/>
          </w:tcPr>
          <w:p w:rsidR="0050794B" w:rsidRPr="007E11E6" w:rsidRDefault="0050794B" w:rsidP="006C6345">
            <w:pPr>
              <w:spacing w:before="120" w:after="120"/>
              <w:jc w:val="center"/>
              <w:rPr>
                <w:rFonts w:ascii="Arial" w:hAnsi="Arial" w:cs="Arial"/>
                <w:sz w:val="18"/>
                <w:szCs w:val="18"/>
              </w:rPr>
            </w:pPr>
            <w:r w:rsidRPr="007E11E6">
              <w:rPr>
                <w:rFonts w:ascii="Arial" w:hAnsi="Arial" w:cs="Arial"/>
                <w:sz w:val="18"/>
                <w:szCs w:val="18"/>
              </w:rPr>
              <w:t>Наименование</w:t>
            </w:r>
          </w:p>
        </w:tc>
        <w:tc>
          <w:tcPr>
            <w:tcW w:w="945" w:type="dxa"/>
            <w:vMerge w:val="restart"/>
            <w:shd w:val="clear" w:color="auto" w:fill="C6D9F1" w:themeFill="text2" w:themeFillTint="33"/>
            <w:vAlign w:val="center"/>
          </w:tcPr>
          <w:p w:rsidR="0050794B" w:rsidRPr="007E11E6" w:rsidRDefault="0050794B" w:rsidP="006C6345">
            <w:pPr>
              <w:spacing w:before="120" w:after="120"/>
              <w:jc w:val="center"/>
              <w:rPr>
                <w:rFonts w:ascii="Arial" w:hAnsi="Arial" w:cs="Arial"/>
                <w:sz w:val="18"/>
                <w:szCs w:val="18"/>
              </w:rPr>
            </w:pPr>
            <w:r w:rsidRPr="007E11E6">
              <w:rPr>
                <w:rFonts w:ascii="Arial" w:hAnsi="Arial" w:cs="Arial"/>
                <w:sz w:val="18"/>
                <w:szCs w:val="18"/>
              </w:rPr>
              <w:t>Ед. изм.</w:t>
            </w:r>
          </w:p>
        </w:tc>
        <w:tc>
          <w:tcPr>
            <w:tcW w:w="851" w:type="dxa"/>
            <w:shd w:val="clear" w:color="auto" w:fill="C6D9F1" w:themeFill="text2" w:themeFillTint="33"/>
          </w:tcPr>
          <w:p w:rsidR="0050794B" w:rsidRPr="007E11E6" w:rsidRDefault="0050794B" w:rsidP="006C6345">
            <w:pPr>
              <w:spacing w:before="120" w:after="120"/>
              <w:jc w:val="center"/>
              <w:rPr>
                <w:rFonts w:ascii="Arial" w:hAnsi="Arial" w:cs="Arial"/>
                <w:sz w:val="18"/>
                <w:szCs w:val="18"/>
              </w:rPr>
            </w:pPr>
          </w:p>
        </w:tc>
        <w:tc>
          <w:tcPr>
            <w:tcW w:w="5213" w:type="dxa"/>
            <w:gridSpan w:val="6"/>
            <w:shd w:val="clear" w:color="auto" w:fill="C6D9F1" w:themeFill="text2" w:themeFillTint="33"/>
          </w:tcPr>
          <w:p w:rsidR="0050794B" w:rsidRPr="007E11E6" w:rsidRDefault="0050794B" w:rsidP="006C6345">
            <w:pPr>
              <w:spacing w:before="120" w:after="120"/>
              <w:jc w:val="center"/>
              <w:rPr>
                <w:rFonts w:ascii="Arial" w:hAnsi="Arial" w:cs="Arial"/>
                <w:sz w:val="18"/>
                <w:szCs w:val="18"/>
              </w:rPr>
            </w:pPr>
            <w:r w:rsidRPr="007E11E6">
              <w:rPr>
                <w:rFonts w:ascii="Arial" w:hAnsi="Arial" w:cs="Arial"/>
                <w:sz w:val="18"/>
                <w:szCs w:val="18"/>
              </w:rPr>
              <w:t>Объем реализации</w:t>
            </w:r>
          </w:p>
        </w:tc>
      </w:tr>
      <w:tr w:rsidR="0050794B" w:rsidRPr="00044C17" w:rsidTr="002F339F">
        <w:trPr>
          <w:trHeight w:val="270"/>
          <w:tblHeader/>
          <w:jc w:val="center"/>
        </w:trPr>
        <w:tc>
          <w:tcPr>
            <w:tcW w:w="3080" w:type="dxa"/>
            <w:vMerge/>
            <w:shd w:val="clear" w:color="auto" w:fill="C6D9F1" w:themeFill="text2" w:themeFillTint="33"/>
            <w:vAlign w:val="center"/>
          </w:tcPr>
          <w:p w:rsidR="0050794B" w:rsidRPr="00044C17" w:rsidRDefault="0050794B" w:rsidP="0050794B">
            <w:pPr>
              <w:spacing w:before="120" w:after="120"/>
              <w:jc w:val="center"/>
              <w:rPr>
                <w:rFonts w:ascii="Arial" w:hAnsi="Arial" w:cs="Arial"/>
                <w:sz w:val="18"/>
                <w:szCs w:val="18"/>
                <w:highlight w:val="yellow"/>
              </w:rPr>
            </w:pPr>
          </w:p>
        </w:tc>
        <w:tc>
          <w:tcPr>
            <w:tcW w:w="945" w:type="dxa"/>
            <w:vMerge/>
            <w:shd w:val="clear" w:color="auto" w:fill="C6D9F1" w:themeFill="text2" w:themeFillTint="33"/>
            <w:vAlign w:val="center"/>
          </w:tcPr>
          <w:p w:rsidR="0050794B" w:rsidRPr="00044C17" w:rsidRDefault="0050794B" w:rsidP="0050794B">
            <w:pPr>
              <w:spacing w:before="120" w:after="120"/>
              <w:jc w:val="center"/>
              <w:rPr>
                <w:rFonts w:ascii="Arial" w:hAnsi="Arial" w:cs="Arial"/>
                <w:sz w:val="18"/>
                <w:szCs w:val="18"/>
                <w:highlight w:val="yellow"/>
              </w:rPr>
            </w:pPr>
          </w:p>
        </w:tc>
        <w:tc>
          <w:tcPr>
            <w:tcW w:w="1102" w:type="dxa"/>
            <w:gridSpan w:val="2"/>
            <w:shd w:val="clear" w:color="auto" w:fill="C6D9F1" w:themeFill="text2" w:themeFillTint="33"/>
          </w:tcPr>
          <w:p w:rsidR="0050794B" w:rsidRPr="007E11E6" w:rsidRDefault="0050794B" w:rsidP="0050794B">
            <w:pPr>
              <w:spacing w:before="120" w:after="120"/>
              <w:jc w:val="center"/>
              <w:rPr>
                <w:rFonts w:ascii="Arial" w:hAnsi="Arial" w:cs="Arial"/>
                <w:b/>
                <w:bCs/>
                <w:sz w:val="18"/>
                <w:szCs w:val="18"/>
              </w:rPr>
            </w:pPr>
            <w:r w:rsidRPr="007E11E6">
              <w:rPr>
                <w:rFonts w:ascii="Arial" w:hAnsi="Arial" w:cs="Arial"/>
                <w:b/>
                <w:bCs/>
                <w:sz w:val="18"/>
                <w:szCs w:val="18"/>
              </w:rPr>
              <w:t>2016</w:t>
            </w:r>
          </w:p>
        </w:tc>
        <w:tc>
          <w:tcPr>
            <w:tcW w:w="992" w:type="dxa"/>
            <w:shd w:val="clear" w:color="auto" w:fill="C6D9F1" w:themeFill="text2" w:themeFillTint="33"/>
          </w:tcPr>
          <w:p w:rsidR="0050794B" w:rsidRPr="007E11E6" w:rsidRDefault="0050794B" w:rsidP="0050794B">
            <w:pPr>
              <w:spacing w:before="120" w:after="120"/>
              <w:jc w:val="center"/>
              <w:rPr>
                <w:rFonts w:ascii="Arial" w:hAnsi="Arial" w:cs="Arial"/>
                <w:b/>
                <w:bCs/>
                <w:sz w:val="18"/>
                <w:szCs w:val="18"/>
              </w:rPr>
            </w:pPr>
            <w:r w:rsidRPr="007E11E6">
              <w:rPr>
                <w:rFonts w:ascii="Arial" w:hAnsi="Arial" w:cs="Arial"/>
                <w:b/>
                <w:bCs/>
                <w:sz w:val="18"/>
                <w:szCs w:val="18"/>
              </w:rPr>
              <w:t>2017</w:t>
            </w:r>
          </w:p>
        </w:tc>
        <w:tc>
          <w:tcPr>
            <w:tcW w:w="1134" w:type="dxa"/>
            <w:shd w:val="clear" w:color="auto" w:fill="C6D9F1" w:themeFill="text2" w:themeFillTint="33"/>
          </w:tcPr>
          <w:p w:rsidR="0050794B" w:rsidRPr="00044C17" w:rsidRDefault="0050794B" w:rsidP="0050794B">
            <w:pPr>
              <w:spacing w:before="120" w:after="120"/>
              <w:jc w:val="center"/>
              <w:rPr>
                <w:rFonts w:ascii="Arial" w:hAnsi="Arial" w:cs="Arial"/>
                <w:b/>
                <w:bCs/>
                <w:sz w:val="18"/>
                <w:szCs w:val="18"/>
                <w:highlight w:val="yellow"/>
              </w:rPr>
            </w:pPr>
            <w:r w:rsidRPr="00BE3F3E">
              <w:rPr>
                <w:rFonts w:ascii="Arial" w:hAnsi="Arial" w:cs="Arial"/>
                <w:b/>
                <w:bCs/>
                <w:sz w:val="18"/>
                <w:szCs w:val="18"/>
              </w:rPr>
              <w:t>2018</w:t>
            </w:r>
          </w:p>
        </w:tc>
        <w:tc>
          <w:tcPr>
            <w:tcW w:w="1134" w:type="dxa"/>
            <w:shd w:val="clear" w:color="auto" w:fill="C6D9F1" w:themeFill="text2" w:themeFillTint="33"/>
          </w:tcPr>
          <w:p w:rsidR="0050794B" w:rsidRPr="00BE3F3E" w:rsidRDefault="0050794B" w:rsidP="0050794B">
            <w:pPr>
              <w:spacing w:before="120" w:after="120"/>
              <w:jc w:val="center"/>
              <w:rPr>
                <w:rFonts w:ascii="Arial" w:hAnsi="Arial" w:cs="Arial"/>
                <w:b/>
                <w:bCs/>
                <w:sz w:val="18"/>
                <w:szCs w:val="18"/>
              </w:rPr>
            </w:pPr>
            <w:r>
              <w:rPr>
                <w:rFonts w:ascii="Arial" w:hAnsi="Arial" w:cs="Arial"/>
                <w:b/>
                <w:bCs/>
                <w:sz w:val="18"/>
                <w:szCs w:val="18"/>
              </w:rPr>
              <w:t>2019</w:t>
            </w:r>
          </w:p>
        </w:tc>
        <w:tc>
          <w:tcPr>
            <w:tcW w:w="851" w:type="dxa"/>
            <w:shd w:val="clear" w:color="auto" w:fill="C6D9F1" w:themeFill="text2" w:themeFillTint="33"/>
          </w:tcPr>
          <w:p w:rsidR="0050794B" w:rsidRDefault="0050794B" w:rsidP="0050794B">
            <w:pPr>
              <w:spacing w:before="120" w:after="120"/>
              <w:jc w:val="center"/>
              <w:rPr>
                <w:rFonts w:ascii="Arial" w:hAnsi="Arial" w:cs="Arial"/>
                <w:b/>
                <w:bCs/>
                <w:sz w:val="18"/>
                <w:szCs w:val="18"/>
              </w:rPr>
            </w:pPr>
            <w:r>
              <w:rPr>
                <w:rFonts w:ascii="Arial" w:hAnsi="Arial" w:cs="Arial"/>
                <w:b/>
                <w:bCs/>
                <w:sz w:val="18"/>
                <w:szCs w:val="18"/>
              </w:rPr>
              <w:t>2020</w:t>
            </w:r>
          </w:p>
        </w:tc>
        <w:tc>
          <w:tcPr>
            <w:tcW w:w="851" w:type="dxa"/>
            <w:shd w:val="clear" w:color="auto" w:fill="C6D9F1" w:themeFill="text2" w:themeFillTint="33"/>
          </w:tcPr>
          <w:p w:rsidR="0050794B" w:rsidRDefault="0050794B" w:rsidP="0050794B">
            <w:pPr>
              <w:spacing w:before="120" w:after="120"/>
              <w:jc w:val="center"/>
              <w:rPr>
                <w:rFonts w:ascii="Arial" w:hAnsi="Arial" w:cs="Arial"/>
                <w:b/>
                <w:bCs/>
                <w:sz w:val="18"/>
                <w:szCs w:val="18"/>
              </w:rPr>
            </w:pPr>
            <w:r>
              <w:rPr>
                <w:rFonts w:ascii="Arial" w:hAnsi="Arial" w:cs="Arial"/>
                <w:b/>
                <w:bCs/>
                <w:sz w:val="18"/>
                <w:szCs w:val="18"/>
              </w:rPr>
              <w:t>2021</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Коксовая мелочь</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15,14</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14,99</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13,55</w:t>
            </w:r>
          </w:p>
        </w:tc>
        <w:tc>
          <w:tcPr>
            <w:tcW w:w="1134" w:type="dxa"/>
          </w:tcPr>
          <w:p w:rsidR="0050794B" w:rsidRPr="00F855EC" w:rsidRDefault="0050794B" w:rsidP="0050794B">
            <w:pPr>
              <w:spacing w:before="120" w:after="120"/>
              <w:jc w:val="center"/>
              <w:rPr>
                <w:rFonts w:ascii="Arial" w:hAnsi="Arial" w:cs="Arial"/>
                <w:sz w:val="18"/>
                <w:szCs w:val="18"/>
              </w:rPr>
            </w:pPr>
            <w:r w:rsidRPr="00F855EC">
              <w:rPr>
                <w:rFonts w:ascii="Arial" w:hAnsi="Arial" w:cs="Arial"/>
                <w:sz w:val="18"/>
                <w:szCs w:val="18"/>
              </w:rPr>
              <w:t>11,87</w:t>
            </w:r>
          </w:p>
        </w:tc>
        <w:tc>
          <w:tcPr>
            <w:tcW w:w="851" w:type="dxa"/>
            <w:vAlign w:val="bottom"/>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13,71</w:t>
            </w:r>
          </w:p>
        </w:tc>
        <w:tc>
          <w:tcPr>
            <w:tcW w:w="851" w:type="dxa"/>
            <w:vAlign w:val="bottom"/>
          </w:tcPr>
          <w:p w:rsidR="0050794B" w:rsidRPr="00F855EC" w:rsidRDefault="0050794B" w:rsidP="0050794B">
            <w:pPr>
              <w:spacing w:before="120" w:after="120"/>
              <w:jc w:val="center"/>
              <w:rPr>
                <w:rFonts w:ascii="Arial" w:hAnsi="Arial" w:cs="Arial"/>
                <w:sz w:val="18"/>
                <w:szCs w:val="18"/>
              </w:rPr>
            </w:pPr>
            <w:r>
              <w:rPr>
                <w:rFonts w:ascii="Arial" w:hAnsi="Arial" w:cs="Arial"/>
                <w:sz w:val="18"/>
                <w:szCs w:val="18"/>
              </w:rPr>
              <w:t>9,84</w:t>
            </w:r>
          </w:p>
        </w:tc>
      </w:tr>
      <w:tr w:rsidR="0050794B" w:rsidRPr="00044C17" w:rsidTr="002F339F">
        <w:trPr>
          <w:trHeight w:val="255"/>
          <w:jc w:val="center"/>
        </w:trPr>
        <w:tc>
          <w:tcPr>
            <w:tcW w:w="3080" w:type="dxa"/>
            <w:shd w:val="clear" w:color="auto" w:fill="auto"/>
            <w:vAlign w:val="center"/>
          </w:tcPr>
          <w:p w:rsidR="0050794B" w:rsidRPr="00A316CB" w:rsidRDefault="0050794B" w:rsidP="0050794B">
            <w:pPr>
              <w:spacing w:before="120" w:after="120"/>
              <w:rPr>
                <w:rFonts w:ascii="Arial" w:hAnsi="Arial" w:cs="Arial"/>
                <w:sz w:val="18"/>
                <w:szCs w:val="18"/>
              </w:rPr>
            </w:pPr>
            <w:r w:rsidRPr="00A316CB">
              <w:rPr>
                <w:rFonts w:ascii="Arial" w:hAnsi="Arial" w:cs="Arial"/>
                <w:sz w:val="18"/>
                <w:szCs w:val="18"/>
              </w:rPr>
              <w:t>Литье</w:t>
            </w:r>
          </w:p>
        </w:tc>
        <w:tc>
          <w:tcPr>
            <w:tcW w:w="945" w:type="dxa"/>
            <w:shd w:val="clear" w:color="auto" w:fill="auto"/>
            <w:noWrap/>
            <w:vAlign w:val="center"/>
          </w:tcPr>
          <w:p w:rsidR="0050794B" w:rsidRPr="00A316CB" w:rsidRDefault="0050794B" w:rsidP="0050794B">
            <w:pPr>
              <w:spacing w:before="120" w:after="120"/>
              <w:jc w:val="center"/>
              <w:rPr>
                <w:rFonts w:ascii="Arial" w:hAnsi="Arial" w:cs="Arial"/>
                <w:sz w:val="18"/>
                <w:szCs w:val="18"/>
              </w:rPr>
            </w:pPr>
            <w:r w:rsidRPr="00A316CB">
              <w:rPr>
                <w:rFonts w:ascii="Arial" w:hAnsi="Arial" w:cs="Arial"/>
                <w:sz w:val="18"/>
                <w:szCs w:val="18"/>
              </w:rPr>
              <w:t>тыс. т</w:t>
            </w:r>
          </w:p>
        </w:tc>
        <w:tc>
          <w:tcPr>
            <w:tcW w:w="1102" w:type="dxa"/>
            <w:gridSpan w:val="2"/>
            <w:shd w:val="clear" w:color="auto" w:fill="auto"/>
            <w:noWrap/>
            <w:vAlign w:val="center"/>
          </w:tcPr>
          <w:p w:rsidR="0050794B" w:rsidRPr="00A316CB" w:rsidRDefault="0050794B" w:rsidP="0050794B">
            <w:pPr>
              <w:spacing w:before="120" w:after="120"/>
              <w:jc w:val="center"/>
              <w:rPr>
                <w:rFonts w:ascii="Arial" w:hAnsi="Arial" w:cs="Arial"/>
                <w:sz w:val="18"/>
                <w:szCs w:val="18"/>
              </w:rPr>
            </w:pPr>
            <w:r w:rsidRPr="00A316CB">
              <w:rPr>
                <w:rFonts w:ascii="Arial" w:hAnsi="Arial" w:cs="Arial"/>
                <w:sz w:val="18"/>
                <w:szCs w:val="18"/>
              </w:rPr>
              <w:t>2,41</w:t>
            </w:r>
          </w:p>
        </w:tc>
        <w:tc>
          <w:tcPr>
            <w:tcW w:w="992" w:type="dxa"/>
            <w:shd w:val="clear" w:color="auto" w:fill="auto"/>
            <w:noWrap/>
            <w:vAlign w:val="center"/>
          </w:tcPr>
          <w:p w:rsidR="0050794B" w:rsidRPr="00A316CB" w:rsidRDefault="0050794B" w:rsidP="0050794B">
            <w:pPr>
              <w:spacing w:before="120" w:after="120"/>
              <w:jc w:val="center"/>
              <w:rPr>
                <w:rFonts w:ascii="Arial" w:hAnsi="Arial" w:cs="Arial"/>
                <w:sz w:val="18"/>
                <w:szCs w:val="18"/>
              </w:rPr>
            </w:pPr>
            <w:r w:rsidRPr="00A316CB">
              <w:rPr>
                <w:rFonts w:ascii="Arial" w:hAnsi="Arial" w:cs="Arial"/>
                <w:sz w:val="18"/>
                <w:szCs w:val="18"/>
              </w:rPr>
              <w:t>1,99</w:t>
            </w:r>
          </w:p>
        </w:tc>
        <w:tc>
          <w:tcPr>
            <w:tcW w:w="1134" w:type="dxa"/>
            <w:shd w:val="clear" w:color="auto" w:fill="auto"/>
            <w:noWrap/>
            <w:vAlign w:val="center"/>
          </w:tcPr>
          <w:p w:rsidR="0050794B" w:rsidRPr="00A316CB" w:rsidRDefault="0050794B" w:rsidP="0050794B">
            <w:pPr>
              <w:spacing w:before="120" w:after="120"/>
              <w:jc w:val="center"/>
              <w:rPr>
                <w:rFonts w:ascii="Arial" w:hAnsi="Arial" w:cs="Arial"/>
                <w:sz w:val="18"/>
                <w:szCs w:val="18"/>
              </w:rPr>
            </w:pPr>
            <w:r w:rsidRPr="00A316CB">
              <w:rPr>
                <w:rFonts w:ascii="Arial" w:hAnsi="Arial" w:cs="Arial"/>
                <w:sz w:val="18"/>
                <w:szCs w:val="18"/>
              </w:rPr>
              <w:t>1,71</w:t>
            </w:r>
          </w:p>
        </w:tc>
        <w:tc>
          <w:tcPr>
            <w:tcW w:w="1134" w:type="dxa"/>
          </w:tcPr>
          <w:p w:rsidR="0050794B" w:rsidRPr="00A316CB" w:rsidRDefault="0050794B" w:rsidP="0050794B">
            <w:pPr>
              <w:spacing w:before="120" w:after="120"/>
              <w:jc w:val="center"/>
              <w:rPr>
                <w:rFonts w:ascii="Arial" w:hAnsi="Arial" w:cs="Arial"/>
                <w:sz w:val="18"/>
                <w:szCs w:val="18"/>
              </w:rPr>
            </w:pPr>
            <w:r w:rsidRPr="0050068F">
              <w:rPr>
                <w:rFonts w:ascii="Arial" w:hAnsi="Arial" w:cs="Arial"/>
                <w:sz w:val="18"/>
                <w:szCs w:val="18"/>
              </w:rPr>
              <w:t>1,83</w:t>
            </w:r>
          </w:p>
        </w:tc>
        <w:tc>
          <w:tcPr>
            <w:tcW w:w="851" w:type="dxa"/>
            <w:vAlign w:val="bottom"/>
          </w:tcPr>
          <w:p w:rsidR="0050794B" w:rsidRPr="00FD10A0" w:rsidRDefault="00B8476C" w:rsidP="00B8476C">
            <w:pPr>
              <w:spacing w:before="120" w:after="120"/>
              <w:jc w:val="center"/>
              <w:rPr>
                <w:rFonts w:ascii="Arial" w:hAnsi="Arial" w:cs="Arial"/>
                <w:sz w:val="18"/>
                <w:szCs w:val="18"/>
              </w:rPr>
            </w:pPr>
            <w:r>
              <w:rPr>
                <w:rFonts w:ascii="Arial" w:hAnsi="Arial" w:cs="Arial"/>
                <w:sz w:val="18"/>
                <w:szCs w:val="18"/>
              </w:rPr>
              <w:t>1</w:t>
            </w:r>
            <w:r w:rsidR="0050794B" w:rsidRPr="00FD10A0">
              <w:rPr>
                <w:rFonts w:ascii="Arial" w:hAnsi="Arial" w:cs="Arial"/>
                <w:sz w:val="18"/>
                <w:szCs w:val="18"/>
              </w:rPr>
              <w:t>,</w:t>
            </w:r>
            <w:r>
              <w:rPr>
                <w:rFonts w:ascii="Arial" w:hAnsi="Arial" w:cs="Arial"/>
                <w:sz w:val="18"/>
                <w:szCs w:val="18"/>
              </w:rPr>
              <w:t>75</w:t>
            </w:r>
          </w:p>
        </w:tc>
        <w:tc>
          <w:tcPr>
            <w:tcW w:w="851" w:type="dxa"/>
            <w:vAlign w:val="bottom"/>
          </w:tcPr>
          <w:p w:rsidR="0050794B" w:rsidRPr="0050068F" w:rsidRDefault="0050794B" w:rsidP="0050794B">
            <w:pPr>
              <w:spacing w:before="120" w:after="120"/>
              <w:jc w:val="center"/>
              <w:rPr>
                <w:rFonts w:ascii="Arial" w:hAnsi="Arial" w:cs="Arial"/>
                <w:sz w:val="18"/>
                <w:szCs w:val="18"/>
              </w:rPr>
            </w:pPr>
            <w:r>
              <w:rPr>
                <w:rFonts w:ascii="Arial" w:hAnsi="Arial" w:cs="Arial"/>
                <w:sz w:val="18"/>
                <w:szCs w:val="18"/>
              </w:rPr>
              <w:t>1,74</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Металлолом</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1,95</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1,44</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1,17</w:t>
            </w:r>
          </w:p>
        </w:tc>
        <w:tc>
          <w:tcPr>
            <w:tcW w:w="1134" w:type="dxa"/>
          </w:tcPr>
          <w:p w:rsidR="0050794B" w:rsidRPr="00BE3F3E" w:rsidRDefault="0050794B" w:rsidP="0050794B">
            <w:pPr>
              <w:spacing w:before="120" w:after="120"/>
              <w:jc w:val="center"/>
              <w:rPr>
                <w:rFonts w:ascii="Arial" w:hAnsi="Arial" w:cs="Arial"/>
                <w:sz w:val="18"/>
                <w:szCs w:val="18"/>
              </w:rPr>
            </w:pPr>
            <w:r w:rsidRPr="00F855EC">
              <w:rPr>
                <w:rFonts w:ascii="Arial" w:hAnsi="Arial" w:cs="Arial"/>
                <w:sz w:val="18"/>
                <w:szCs w:val="18"/>
              </w:rPr>
              <w:t>0,82</w:t>
            </w:r>
          </w:p>
        </w:tc>
        <w:tc>
          <w:tcPr>
            <w:tcW w:w="851" w:type="dxa"/>
            <w:vAlign w:val="bottom"/>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1,61</w:t>
            </w:r>
          </w:p>
        </w:tc>
        <w:tc>
          <w:tcPr>
            <w:tcW w:w="851" w:type="dxa"/>
            <w:vAlign w:val="bottom"/>
          </w:tcPr>
          <w:p w:rsidR="0050794B" w:rsidRPr="00F855EC" w:rsidRDefault="0050794B" w:rsidP="0050794B">
            <w:pPr>
              <w:spacing w:before="120" w:after="120"/>
              <w:jc w:val="center"/>
              <w:rPr>
                <w:rFonts w:ascii="Arial" w:hAnsi="Arial" w:cs="Arial"/>
                <w:sz w:val="18"/>
                <w:szCs w:val="18"/>
              </w:rPr>
            </w:pPr>
            <w:r>
              <w:rPr>
                <w:rFonts w:ascii="Arial" w:hAnsi="Arial" w:cs="Arial"/>
                <w:sz w:val="18"/>
                <w:szCs w:val="18"/>
              </w:rPr>
              <w:t>0,36</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МОД</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2,16</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0,50</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0,77</w:t>
            </w:r>
          </w:p>
        </w:tc>
        <w:tc>
          <w:tcPr>
            <w:tcW w:w="1134" w:type="dxa"/>
          </w:tcPr>
          <w:p w:rsidR="0050794B" w:rsidRPr="00BE3F3E" w:rsidRDefault="0050794B" w:rsidP="0050794B">
            <w:pPr>
              <w:spacing w:before="120" w:after="120"/>
              <w:jc w:val="center"/>
              <w:rPr>
                <w:rFonts w:ascii="Arial" w:hAnsi="Arial" w:cs="Arial"/>
                <w:sz w:val="18"/>
                <w:szCs w:val="18"/>
              </w:rPr>
            </w:pPr>
            <w:r w:rsidRPr="00F855EC">
              <w:rPr>
                <w:rFonts w:ascii="Arial" w:hAnsi="Arial" w:cs="Arial"/>
                <w:sz w:val="18"/>
                <w:szCs w:val="18"/>
              </w:rPr>
              <w:t>2,24</w:t>
            </w:r>
          </w:p>
        </w:tc>
        <w:tc>
          <w:tcPr>
            <w:tcW w:w="851" w:type="dxa"/>
            <w:vAlign w:val="bottom"/>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1,88</w:t>
            </w:r>
          </w:p>
        </w:tc>
        <w:tc>
          <w:tcPr>
            <w:tcW w:w="851" w:type="dxa"/>
            <w:vAlign w:val="bottom"/>
          </w:tcPr>
          <w:p w:rsidR="0050794B" w:rsidRPr="00FD10A0" w:rsidRDefault="0050794B" w:rsidP="00F20A8E">
            <w:pPr>
              <w:spacing w:before="120" w:after="120"/>
              <w:jc w:val="center"/>
              <w:rPr>
                <w:rFonts w:ascii="Arial" w:hAnsi="Arial" w:cs="Arial"/>
                <w:sz w:val="18"/>
                <w:szCs w:val="18"/>
              </w:rPr>
            </w:pPr>
            <w:r>
              <w:rPr>
                <w:rFonts w:ascii="Arial" w:hAnsi="Arial" w:cs="Arial"/>
                <w:sz w:val="18"/>
                <w:szCs w:val="18"/>
              </w:rPr>
              <w:t>1,</w:t>
            </w:r>
            <w:r w:rsidR="00F20A8E">
              <w:rPr>
                <w:rFonts w:ascii="Arial" w:hAnsi="Arial" w:cs="Arial"/>
                <w:sz w:val="18"/>
                <w:szCs w:val="18"/>
              </w:rPr>
              <w:t>69</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ЧЛДШ</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7,26</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7,06</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1,63</w:t>
            </w:r>
          </w:p>
        </w:tc>
        <w:tc>
          <w:tcPr>
            <w:tcW w:w="1134" w:type="dxa"/>
          </w:tcPr>
          <w:p w:rsidR="0050794B" w:rsidRPr="00BE3F3E" w:rsidRDefault="0050794B" w:rsidP="0050794B">
            <w:pPr>
              <w:spacing w:before="120" w:after="120"/>
              <w:jc w:val="center"/>
              <w:rPr>
                <w:rFonts w:ascii="Arial" w:hAnsi="Arial" w:cs="Arial"/>
                <w:sz w:val="18"/>
                <w:szCs w:val="18"/>
              </w:rPr>
            </w:pPr>
            <w:r w:rsidRPr="00F855EC">
              <w:rPr>
                <w:rFonts w:ascii="Arial" w:hAnsi="Arial" w:cs="Arial"/>
                <w:sz w:val="18"/>
                <w:szCs w:val="18"/>
              </w:rPr>
              <w:t>1,01</w:t>
            </w:r>
          </w:p>
        </w:tc>
        <w:tc>
          <w:tcPr>
            <w:tcW w:w="851" w:type="dxa"/>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5,06</w:t>
            </w:r>
          </w:p>
        </w:tc>
        <w:tc>
          <w:tcPr>
            <w:tcW w:w="851" w:type="dxa"/>
          </w:tcPr>
          <w:p w:rsidR="0050794B" w:rsidRPr="00FD10A0" w:rsidRDefault="00F20A8E" w:rsidP="0050794B">
            <w:pPr>
              <w:spacing w:before="120" w:after="120"/>
              <w:jc w:val="center"/>
              <w:rPr>
                <w:rFonts w:ascii="Arial" w:hAnsi="Arial" w:cs="Arial"/>
                <w:sz w:val="18"/>
                <w:szCs w:val="18"/>
              </w:rPr>
            </w:pPr>
            <w:r>
              <w:rPr>
                <w:rFonts w:ascii="Arial" w:hAnsi="Arial" w:cs="Arial"/>
                <w:sz w:val="18"/>
                <w:szCs w:val="18"/>
              </w:rPr>
              <w:t>1,9</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Пыль колошниковая</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0,02</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0,04</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tcPr>
          <w:p w:rsidR="0050794B" w:rsidRPr="00BE3F3E" w:rsidRDefault="0050794B" w:rsidP="0050794B">
            <w:pPr>
              <w:spacing w:before="120" w:after="120"/>
              <w:jc w:val="center"/>
              <w:rPr>
                <w:rFonts w:ascii="Arial" w:hAnsi="Arial" w:cs="Arial"/>
                <w:sz w:val="18"/>
                <w:szCs w:val="18"/>
              </w:rPr>
            </w:pPr>
            <w:r w:rsidRPr="00F855EC">
              <w:rPr>
                <w:rFonts w:ascii="Arial" w:hAnsi="Arial" w:cs="Arial"/>
                <w:sz w:val="18"/>
                <w:szCs w:val="18"/>
              </w:rPr>
              <w:t>1,19</w:t>
            </w:r>
          </w:p>
        </w:tc>
        <w:tc>
          <w:tcPr>
            <w:tcW w:w="851" w:type="dxa"/>
          </w:tcPr>
          <w:p w:rsidR="0050794B" w:rsidRDefault="0050794B" w:rsidP="0050794B">
            <w:pPr>
              <w:spacing w:before="120" w:after="120"/>
              <w:jc w:val="center"/>
              <w:rPr>
                <w:rFonts w:ascii="Arial" w:hAnsi="Arial" w:cs="Arial"/>
                <w:sz w:val="18"/>
                <w:szCs w:val="18"/>
              </w:rPr>
            </w:pPr>
            <w:r>
              <w:rPr>
                <w:rFonts w:ascii="Arial" w:hAnsi="Arial" w:cs="Arial"/>
                <w:sz w:val="18"/>
                <w:szCs w:val="18"/>
              </w:rPr>
              <w:t>0</w:t>
            </w:r>
          </w:p>
        </w:tc>
        <w:tc>
          <w:tcPr>
            <w:tcW w:w="851" w:type="dxa"/>
          </w:tcPr>
          <w:p w:rsidR="0050794B" w:rsidRPr="00F855EC" w:rsidRDefault="0050794B" w:rsidP="0050794B">
            <w:pPr>
              <w:spacing w:before="120" w:after="120"/>
              <w:jc w:val="center"/>
              <w:rPr>
                <w:rFonts w:ascii="Arial" w:hAnsi="Arial" w:cs="Arial"/>
                <w:sz w:val="18"/>
                <w:szCs w:val="18"/>
              </w:rPr>
            </w:pPr>
            <w:r>
              <w:rPr>
                <w:rFonts w:ascii="Arial" w:hAnsi="Arial" w:cs="Arial"/>
                <w:sz w:val="18"/>
                <w:szCs w:val="18"/>
              </w:rPr>
              <w:t>0</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Шлак магнитоактивный</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4,36</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3,32</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3,58</w:t>
            </w:r>
          </w:p>
        </w:tc>
        <w:tc>
          <w:tcPr>
            <w:tcW w:w="1134" w:type="dxa"/>
          </w:tcPr>
          <w:p w:rsidR="0050794B" w:rsidRPr="00BE3F3E" w:rsidRDefault="0050794B" w:rsidP="0050794B">
            <w:pPr>
              <w:spacing w:before="120" w:after="120"/>
              <w:jc w:val="center"/>
              <w:rPr>
                <w:rFonts w:ascii="Arial" w:hAnsi="Arial" w:cs="Arial"/>
                <w:sz w:val="18"/>
                <w:szCs w:val="18"/>
              </w:rPr>
            </w:pPr>
            <w:r w:rsidRPr="00F855EC">
              <w:rPr>
                <w:rFonts w:ascii="Arial" w:hAnsi="Arial" w:cs="Arial"/>
                <w:sz w:val="18"/>
                <w:szCs w:val="18"/>
              </w:rPr>
              <w:t>7,77</w:t>
            </w:r>
          </w:p>
        </w:tc>
        <w:tc>
          <w:tcPr>
            <w:tcW w:w="851" w:type="dxa"/>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7,84</w:t>
            </w:r>
          </w:p>
        </w:tc>
        <w:tc>
          <w:tcPr>
            <w:tcW w:w="851" w:type="dxa"/>
          </w:tcPr>
          <w:p w:rsidR="0050794B" w:rsidRPr="00FD10A0" w:rsidRDefault="00F20A8E" w:rsidP="0050794B">
            <w:pPr>
              <w:spacing w:before="120" w:after="120"/>
              <w:jc w:val="center"/>
              <w:rPr>
                <w:rFonts w:ascii="Arial" w:hAnsi="Arial" w:cs="Arial"/>
                <w:sz w:val="18"/>
                <w:szCs w:val="18"/>
              </w:rPr>
            </w:pPr>
            <w:r>
              <w:rPr>
                <w:rFonts w:ascii="Arial" w:hAnsi="Arial" w:cs="Arial"/>
                <w:sz w:val="18"/>
                <w:szCs w:val="18"/>
              </w:rPr>
              <w:t>6,28</w:t>
            </w:r>
          </w:p>
        </w:tc>
      </w:tr>
      <w:tr w:rsidR="0050794B" w:rsidRPr="00044C17" w:rsidTr="002F339F">
        <w:trPr>
          <w:trHeight w:val="255"/>
          <w:jc w:val="center"/>
        </w:trPr>
        <w:tc>
          <w:tcPr>
            <w:tcW w:w="3080" w:type="dxa"/>
            <w:shd w:val="clear" w:color="auto" w:fill="auto"/>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Шлак отвальный</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24,78</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6,47</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w:t>
            </w:r>
          </w:p>
        </w:tc>
        <w:tc>
          <w:tcPr>
            <w:tcW w:w="851" w:type="dxa"/>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17,23</w:t>
            </w:r>
          </w:p>
        </w:tc>
        <w:tc>
          <w:tcPr>
            <w:tcW w:w="851" w:type="dxa"/>
          </w:tcPr>
          <w:p w:rsidR="0050794B" w:rsidRPr="00BE3F3E" w:rsidRDefault="00F20A8E" w:rsidP="0050794B">
            <w:pPr>
              <w:spacing w:before="120" w:after="120"/>
              <w:jc w:val="center"/>
              <w:rPr>
                <w:rFonts w:ascii="Arial" w:hAnsi="Arial" w:cs="Arial"/>
                <w:sz w:val="18"/>
                <w:szCs w:val="18"/>
              </w:rPr>
            </w:pPr>
            <w:r>
              <w:rPr>
                <w:rFonts w:ascii="Arial" w:hAnsi="Arial" w:cs="Arial"/>
                <w:sz w:val="18"/>
                <w:szCs w:val="18"/>
              </w:rPr>
              <w:t>84,04</w:t>
            </w:r>
          </w:p>
        </w:tc>
      </w:tr>
      <w:tr w:rsidR="0050794B" w:rsidRPr="00044C17" w:rsidTr="002F339F">
        <w:trPr>
          <w:trHeight w:val="255"/>
          <w:jc w:val="center"/>
        </w:trPr>
        <w:tc>
          <w:tcPr>
            <w:tcW w:w="3080" w:type="dxa"/>
            <w:shd w:val="clear" w:color="auto" w:fill="auto"/>
            <w:noWrap/>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Щебень шлаковый</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159,67</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156,63</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125,88</w:t>
            </w:r>
          </w:p>
        </w:tc>
        <w:tc>
          <w:tcPr>
            <w:tcW w:w="1134" w:type="dxa"/>
          </w:tcPr>
          <w:p w:rsidR="0050794B" w:rsidRPr="00BE3F3E" w:rsidRDefault="0050794B" w:rsidP="0050794B">
            <w:pPr>
              <w:spacing w:before="120" w:after="120"/>
              <w:jc w:val="center"/>
              <w:rPr>
                <w:rFonts w:ascii="Arial" w:hAnsi="Arial" w:cs="Arial"/>
                <w:sz w:val="18"/>
                <w:szCs w:val="18"/>
              </w:rPr>
            </w:pPr>
            <w:r w:rsidRPr="00F855EC">
              <w:rPr>
                <w:rFonts w:ascii="Arial" w:hAnsi="Arial" w:cs="Arial"/>
                <w:sz w:val="18"/>
                <w:szCs w:val="18"/>
              </w:rPr>
              <w:t>78,76</w:t>
            </w:r>
          </w:p>
        </w:tc>
        <w:tc>
          <w:tcPr>
            <w:tcW w:w="851" w:type="dxa"/>
          </w:tcPr>
          <w:p w:rsidR="0050794B" w:rsidRPr="00FD10A0" w:rsidRDefault="0050794B" w:rsidP="0050794B">
            <w:pPr>
              <w:spacing w:before="120" w:after="120"/>
              <w:jc w:val="center"/>
              <w:rPr>
                <w:rFonts w:ascii="Arial" w:hAnsi="Arial" w:cs="Arial"/>
                <w:sz w:val="18"/>
                <w:szCs w:val="18"/>
              </w:rPr>
            </w:pPr>
            <w:r w:rsidRPr="00FD10A0">
              <w:rPr>
                <w:rFonts w:ascii="Arial" w:hAnsi="Arial" w:cs="Arial"/>
                <w:sz w:val="18"/>
                <w:szCs w:val="18"/>
              </w:rPr>
              <w:t>122,22</w:t>
            </w:r>
          </w:p>
        </w:tc>
        <w:tc>
          <w:tcPr>
            <w:tcW w:w="851" w:type="dxa"/>
          </w:tcPr>
          <w:p w:rsidR="0050794B" w:rsidRPr="00F855EC" w:rsidRDefault="0050794B" w:rsidP="00F20A8E">
            <w:pPr>
              <w:spacing w:before="120" w:after="120"/>
              <w:jc w:val="center"/>
              <w:rPr>
                <w:rFonts w:ascii="Arial" w:hAnsi="Arial" w:cs="Arial"/>
                <w:sz w:val="18"/>
                <w:szCs w:val="18"/>
              </w:rPr>
            </w:pPr>
            <w:r w:rsidRPr="00FD10A0">
              <w:rPr>
                <w:rFonts w:ascii="Arial" w:hAnsi="Arial" w:cs="Arial"/>
                <w:sz w:val="18"/>
                <w:szCs w:val="18"/>
              </w:rPr>
              <w:t>1</w:t>
            </w:r>
            <w:r w:rsidR="00F20A8E">
              <w:rPr>
                <w:rFonts w:ascii="Arial" w:hAnsi="Arial" w:cs="Arial"/>
                <w:sz w:val="18"/>
                <w:szCs w:val="18"/>
              </w:rPr>
              <w:t>70,36</w:t>
            </w:r>
          </w:p>
        </w:tc>
      </w:tr>
      <w:tr w:rsidR="0050794B" w:rsidRPr="00044C17" w:rsidTr="002F339F">
        <w:trPr>
          <w:trHeight w:val="270"/>
          <w:jc w:val="center"/>
        </w:trPr>
        <w:tc>
          <w:tcPr>
            <w:tcW w:w="3080" w:type="dxa"/>
            <w:shd w:val="clear" w:color="auto" w:fill="auto"/>
            <w:noWrap/>
            <w:vAlign w:val="center"/>
          </w:tcPr>
          <w:p w:rsidR="0050794B" w:rsidRPr="00BE3F3E" w:rsidRDefault="0050794B" w:rsidP="0050794B">
            <w:pPr>
              <w:spacing w:before="120" w:after="120"/>
              <w:rPr>
                <w:rFonts w:ascii="Arial" w:hAnsi="Arial" w:cs="Arial"/>
                <w:sz w:val="18"/>
                <w:szCs w:val="18"/>
              </w:rPr>
            </w:pPr>
            <w:r w:rsidRPr="00BE3F3E">
              <w:rPr>
                <w:rFonts w:ascii="Arial" w:hAnsi="Arial" w:cs="Arial"/>
                <w:sz w:val="18"/>
                <w:szCs w:val="18"/>
              </w:rPr>
              <w:t>Шлакоблоки</w:t>
            </w:r>
          </w:p>
        </w:tc>
        <w:tc>
          <w:tcPr>
            <w:tcW w:w="945"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тыс. шт.</w:t>
            </w:r>
          </w:p>
        </w:tc>
        <w:tc>
          <w:tcPr>
            <w:tcW w:w="1102" w:type="dxa"/>
            <w:gridSpan w:val="2"/>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0,04</w:t>
            </w:r>
          </w:p>
        </w:tc>
        <w:tc>
          <w:tcPr>
            <w:tcW w:w="992"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shd w:val="clear" w:color="auto" w:fill="auto"/>
            <w:noWrap/>
            <w:vAlign w:val="center"/>
          </w:tcPr>
          <w:p w:rsidR="0050794B" w:rsidRPr="00BE3F3E" w:rsidRDefault="0050794B" w:rsidP="0050794B">
            <w:pPr>
              <w:spacing w:before="120" w:after="120"/>
              <w:jc w:val="center"/>
              <w:rPr>
                <w:rFonts w:ascii="Arial" w:hAnsi="Arial" w:cs="Arial"/>
                <w:sz w:val="18"/>
                <w:szCs w:val="18"/>
              </w:rPr>
            </w:pPr>
            <w:r w:rsidRPr="00BE3F3E">
              <w:rPr>
                <w:rFonts w:ascii="Arial" w:hAnsi="Arial" w:cs="Arial"/>
                <w:sz w:val="18"/>
                <w:szCs w:val="18"/>
              </w:rPr>
              <w:t>0</w:t>
            </w:r>
          </w:p>
        </w:tc>
        <w:tc>
          <w:tcPr>
            <w:tcW w:w="1134" w:type="dxa"/>
          </w:tcPr>
          <w:p w:rsidR="0050794B" w:rsidRPr="00BE3F3E" w:rsidRDefault="0050794B" w:rsidP="0050794B">
            <w:pPr>
              <w:spacing w:before="120" w:after="120"/>
              <w:jc w:val="center"/>
              <w:rPr>
                <w:rFonts w:ascii="Arial" w:hAnsi="Arial" w:cs="Arial"/>
                <w:sz w:val="18"/>
                <w:szCs w:val="18"/>
              </w:rPr>
            </w:pPr>
            <w:r>
              <w:rPr>
                <w:rFonts w:ascii="Arial" w:hAnsi="Arial" w:cs="Arial"/>
                <w:sz w:val="18"/>
                <w:szCs w:val="18"/>
              </w:rPr>
              <w:t>0</w:t>
            </w:r>
          </w:p>
        </w:tc>
        <w:tc>
          <w:tcPr>
            <w:tcW w:w="851" w:type="dxa"/>
          </w:tcPr>
          <w:p w:rsidR="0050794B" w:rsidRDefault="0050794B" w:rsidP="0050794B">
            <w:pPr>
              <w:spacing w:before="120" w:after="120"/>
              <w:jc w:val="center"/>
              <w:rPr>
                <w:rFonts w:ascii="Arial" w:hAnsi="Arial" w:cs="Arial"/>
                <w:sz w:val="18"/>
                <w:szCs w:val="18"/>
              </w:rPr>
            </w:pPr>
            <w:r>
              <w:rPr>
                <w:rFonts w:ascii="Arial" w:hAnsi="Arial" w:cs="Arial"/>
                <w:sz w:val="18"/>
                <w:szCs w:val="18"/>
              </w:rPr>
              <w:t>0</w:t>
            </w:r>
          </w:p>
        </w:tc>
        <w:tc>
          <w:tcPr>
            <w:tcW w:w="851" w:type="dxa"/>
          </w:tcPr>
          <w:p w:rsidR="0050794B" w:rsidRDefault="0050794B" w:rsidP="0050794B">
            <w:pPr>
              <w:spacing w:before="120" w:after="120"/>
              <w:jc w:val="center"/>
              <w:rPr>
                <w:rFonts w:ascii="Arial" w:hAnsi="Arial" w:cs="Arial"/>
                <w:sz w:val="18"/>
                <w:szCs w:val="18"/>
              </w:rPr>
            </w:pPr>
            <w:r>
              <w:rPr>
                <w:rFonts w:ascii="Arial" w:hAnsi="Arial" w:cs="Arial"/>
                <w:sz w:val="18"/>
                <w:szCs w:val="18"/>
              </w:rPr>
              <w:t>0</w:t>
            </w:r>
          </w:p>
        </w:tc>
      </w:tr>
    </w:tbl>
    <w:p w:rsidR="00E21613" w:rsidRPr="00E21613" w:rsidRDefault="00E21613" w:rsidP="00E21613">
      <w:pPr>
        <w:pStyle w:val="ab"/>
        <w:spacing w:before="120" w:after="120"/>
        <w:ind w:left="0" w:firstLine="709"/>
        <w:jc w:val="both"/>
        <w:rPr>
          <w:rFonts w:ascii="Arial" w:hAnsi="Arial" w:cs="Arial"/>
          <w:szCs w:val="22"/>
        </w:rPr>
      </w:pPr>
      <w:r w:rsidRPr="00E21613">
        <w:rPr>
          <w:rFonts w:ascii="Arial" w:hAnsi="Arial" w:cs="Arial"/>
          <w:szCs w:val="22"/>
        </w:rPr>
        <w:lastRenderedPageBreak/>
        <w:t>Выручка от реализации ко</w:t>
      </w:r>
      <w:r w:rsidR="00F20A8E">
        <w:rPr>
          <w:rFonts w:ascii="Arial" w:hAnsi="Arial" w:cs="Arial"/>
          <w:szCs w:val="22"/>
        </w:rPr>
        <w:t xml:space="preserve">ммунальных и прочих услуг в 2021 </w:t>
      </w:r>
      <w:r w:rsidRPr="00E21613">
        <w:rPr>
          <w:rFonts w:ascii="Arial" w:hAnsi="Arial" w:cs="Arial"/>
          <w:szCs w:val="22"/>
        </w:rPr>
        <w:t xml:space="preserve">году составила </w:t>
      </w:r>
      <w:r w:rsidR="00706A09">
        <w:rPr>
          <w:rFonts w:ascii="Arial" w:hAnsi="Arial" w:cs="Arial"/>
          <w:szCs w:val="22"/>
        </w:rPr>
        <w:t>291,61</w:t>
      </w:r>
      <w:r w:rsidRPr="00E21613">
        <w:rPr>
          <w:rFonts w:ascii="Arial" w:hAnsi="Arial" w:cs="Arial"/>
          <w:szCs w:val="22"/>
        </w:rPr>
        <w:t xml:space="preserve"> млн. руб., что на </w:t>
      </w:r>
      <w:r w:rsidR="00F20A8E">
        <w:rPr>
          <w:rFonts w:ascii="Arial" w:hAnsi="Arial" w:cs="Arial"/>
          <w:szCs w:val="22"/>
        </w:rPr>
        <w:t>21</w:t>
      </w:r>
      <w:r w:rsidRPr="00E21613">
        <w:rPr>
          <w:rFonts w:ascii="Arial" w:hAnsi="Arial" w:cs="Arial"/>
          <w:szCs w:val="22"/>
        </w:rPr>
        <w:t>,</w:t>
      </w:r>
      <w:r w:rsidR="00F20A8E">
        <w:rPr>
          <w:rFonts w:ascii="Arial" w:hAnsi="Arial" w:cs="Arial"/>
          <w:szCs w:val="22"/>
        </w:rPr>
        <w:t>5</w:t>
      </w:r>
      <w:r w:rsidR="00706A09">
        <w:rPr>
          <w:rFonts w:ascii="Arial" w:hAnsi="Arial" w:cs="Arial"/>
          <w:szCs w:val="22"/>
        </w:rPr>
        <w:t>7</w:t>
      </w:r>
      <w:r w:rsidRPr="00E21613">
        <w:rPr>
          <w:rFonts w:ascii="Arial" w:hAnsi="Arial" w:cs="Arial"/>
          <w:szCs w:val="22"/>
        </w:rPr>
        <w:t xml:space="preserve"> млн. руб. больше, чем в 20</w:t>
      </w:r>
      <w:r w:rsidR="00F20A8E">
        <w:rPr>
          <w:rFonts w:ascii="Arial" w:hAnsi="Arial" w:cs="Arial"/>
          <w:szCs w:val="22"/>
        </w:rPr>
        <w:t>20</w:t>
      </w:r>
      <w:r w:rsidRPr="00E21613">
        <w:rPr>
          <w:rFonts w:ascii="Arial" w:hAnsi="Arial" w:cs="Arial"/>
          <w:szCs w:val="22"/>
        </w:rPr>
        <w:t xml:space="preserve"> году</w:t>
      </w:r>
      <w:r w:rsidR="002E27FB">
        <w:rPr>
          <w:rFonts w:ascii="Arial" w:hAnsi="Arial" w:cs="Arial"/>
          <w:szCs w:val="22"/>
        </w:rPr>
        <w:t>. Рост</w:t>
      </w:r>
      <w:r w:rsidRPr="00E21613">
        <w:rPr>
          <w:rFonts w:ascii="Arial" w:hAnsi="Arial" w:cs="Arial"/>
          <w:szCs w:val="22"/>
        </w:rPr>
        <w:t xml:space="preserve"> связан с ежегодной индексацией тарифов на услуги теплоснабжения и водоотведения, оказываемых ПАО «КМЗ» населению и юридическим.</w:t>
      </w:r>
    </w:p>
    <w:p w:rsidR="00785C7E" w:rsidRPr="00852AF1" w:rsidRDefault="00706A09" w:rsidP="00785C7E">
      <w:pPr>
        <w:spacing w:before="120" w:after="120"/>
        <w:ind w:firstLine="709"/>
        <w:jc w:val="both"/>
        <w:rPr>
          <w:rFonts w:ascii="Arial" w:hAnsi="Arial" w:cs="Arial"/>
          <w:szCs w:val="22"/>
        </w:rPr>
      </w:pPr>
      <w:r>
        <w:rPr>
          <w:rFonts w:ascii="Arial" w:hAnsi="Arial" w:cs="Arial"/>
          <w:szCs w:val="22"/>
        </w:rPr>
        <w:t xml:space="preserve">В 4 квартале 2020 года ПАО «КМЗ» перешел на давальческую переработку окатышей железорудных, в 3 квартале 2021 года также </w:t>
      </w:r>
      <w:r w:rsidR="00004CEF">
        <w:rPr>
          <w:rFonts w:ascii="Arial" w:hAnsi="Arial" w:cs="Arial"/>
          <w:szCs w:val="22"/>
        </w:rPr>
        <w:t>осуществляется</w:t>
      </w:r>
      <w:r>
        <w:rPr>
          <w:rFonts w:ascii="Arial" w:hAnsi="Arial" w:cs="Arial"/>
          <w:szCs w:val="22"/>
        </w:rPr>
        <w:t xml:space="preserve"> переработка м</w:t>
      </w:r>
      <w:r w:rsidRPr="00706A09">
        <w:rPr>
          <w:rFonts w:ascii="Arial" w:hAnsi="Arial" w:cs="Arial"/>
          <w:szCs w:val="22"/>
        </w:rPr>
        <w:t>арганцево</w:t>
      </w:r>
      <w:r>
        <w:rPr>
          <w:rFonts w:ascii="Arial" w:hAnsi="Arial" w:cs="Arial"/>
          <w:szCs w:val="22"/>
        </w:rPr>
        <w:t>й руды. В результате в</w:t>
      </w:r>
      <w:r w:rsidR="00785C7E" w:rsidRPr="0082565C">
        <w:rPr>
          <w:rFonts w:ascii="Arial" w:hAnsi="Arial" w:cs="Arial"/>
          <w:szCs w:val="22"/>
        </w:rPr>
        <w:t>ыручка</w:t>
      </w:r>
      <w:r>
        <w:rPr>
          <w:rFonts w:ascii="Arial" w:hAnsi="Arial" w:cs="Arial"/>
          <w:szCs w:val="22"/>
        </w:rPr>
        <w:t xml:space="preserve"> </w:t>
      </w:r>
      <w:r w:rsidR="00785C7E" w:rsidRPr="0082565C">
        <w:rPr>
          <w:rFonts w:ascii="Arial" w:hAnsi="Arial" w:cs="Arial"/>
          <w:szCs w:val="22"/>
        </w:rPr>
        <w:t>от</w:t>
      </w:r>
      <w:r>
        <w:rPr>
          <w:rFonts w:ascii="Arial" w:hAnsi="Arial" w:cs="Arial"/>
          <w:szCs w:val="22"/>
        </w:rPr>
        <w:t xml:space="preserve"> </w:t>
      </w:r>
      <w:r w:rsidR="00785C7E" w:rsidRPr="0082565C">
        <w:rPr>
          <w:rFonts w:ascii="Arial" w:hAnsi="Arial" w:cs="Arial"/>
          <w:szCs w:val="22"/>
        </w:rPr>
        <w:t>реализации услуг по</w:t>
      </w:r>
      <w:r w:rsidR="00004CEF">
        <w:rPr>
          <w:rFonts w:ascii="Arial" w:hAnsi="Arial" w:cs="Arial"/>
          <w:szCs w:val="22"/>
        </w:rPr>
        <w:t xml:space="preserve"> </w:t>
      </w:r>
      <w:r w:rsidR="00785C7E" w:rsidRPr="0082565C">
        <w:rPr>
          <w:rFonts w:ascii="Arial" w:hAnsi="Arial" w:cs="Arial"/>
          <w:szCs w:val="22"/>
        </w:rPr>
        <w:t>переработке</w:t>
      </w:r>
      <w:r>
        <w:rPr>
          <w:rFonts w:ascii="Arial" w:hAnsi="Arial" w:cs="Arial"/>
          <w:szCs w:val="22"/>
        </w:rPr>
        <w:t xml:space="preserve"> </w:t>
      </w:r>
      <w:r w:rsidR="00F20A8E">
        <w:rPr>
          <w:rFonts w:ascii="Arial" w:hAnsi="Arial" w:cs="Arial"/>
          <w:szCs w:val="22"/>
        </w:rPr>
        <w:t>в 2021</w:t>
      </w:r>
      <w:r>
        <w:rPr>
          <w:rFonts w:ascii="Arial" w:hAnsi="Arial" w:cs="Arial"/>
          <w:szCs w:val="22"/>
        </w:rPr>
        <w:t xml:space="preserve"> </w:t>
      </w:r>
      <w:r w:rsidR="00F20A8E">
        <w:rPr>
          <w:rFonts w:ascii="Arial" w:hAnsi="Arial" w:cs="Arial"/>
          <w:szCs w:val="22"/>
        </w:rPr>
        <w:t>году</w:t>
      </w:r>
      <w:r>
        <w:rPr>
          <w:rFonts w:ascii="Arial" w:hAnsi="Arial" w:cs="Arial"/>
          <w:szCs w:val="22"/>
        </w:rPr>
        <w:t xml:space="preserve"> выросла </w:t>
      </w:r>
      <w:r w:rsidR="00004CEF">
        <w:rPr>
          <w:rFonts w:ascii="Arial" w:hAnsi="Arial" w:cs="Arial"/>
          <w:szCs w:val="22"/>
        </w:rPr>
        <w:t xml:space="preserve">на </w:t>
      </w:r>
      <w:r>
        <w:rPr>
          <w:rFonts w:ascii="Arial" w:hAnsi="Arial" w:cs="Arial"/>
          <w:szCs w:val="22"/>
        </w:rPr>
        <w:t xml:space="preserve">6 738,82 млн.руб. по сравнению с 2020 годом, составив </w:t>
      </w:r>
      <w:r w:rsidR="00F20A8E">
        <w:rPr>
          <w:rFonts w:ascii="Arial" w:hAnsi="Arial" w:cs="Arial"/>
          <w:szCs w:val="22"/>
        </w:rPr>
        <w:t>7 711</w:t>
      </w:r>
      <w:r w:rsidR="00785C7E" w:rsidRPr="0082565C">
        <w:rPr>
          <w:rFonts w:ascii="Arial" w:hAnsi="Arial" w:cs="Arial"/>
          <w:szCs w:val="22"/>
        </w:rPr>
        <w:t>,</w:t>
      </w:r>
      <w:r w:rsidR="00F20A8E">
        <w:rPr>
          <w:rFonts w:ascii="Arial" w:hAnsi="Arial" w:cs="Arial"/>
          <w:szCs w:val="22"/>
        </w:rPr>
        <w:t>5</w:t>
      </w:r>
      <w:r>
        <w:rPr>
          <w:rFonts w:ascii="Arial" w:hAnsi="Arial" w:cs="Arial"/>
          <w:szCs w:val="22"/>
        </w:rPr>
        <w:t>3</w:t>
      </w:r>
      <w:r w:rsidR="00785C7E" w:rsidRPr="0082565C">
        <w:rPr>
          <w:rFonts w:ascii="Arial" w:hAnsi="Arial" w:cs="Arial"/>
          <w:szCs w:val="22"/>
        </w:rPr>
        <w:t xml:space="preserve"> млн.руб.</w:t>
      </w:r>
    </w:p>
    <w:p w:rsidR="006F5CA6" w:rsidRPr="00852AF1" w:rsidRDefault="006F5CA6" w:rsidP="001D6106">
      <w:pPr>
        <w:pStyle w:val="ab"/>
        <w:spacing w:before="120" w:after="120"/>
        <w:ind w:left="0" w:firstLine="709"/>
        <w:jc w:val="both"/>
        <w:rPr>
          <w:rFonts w:ascii="Arial" w:hAnsi="Arial" w:cs="Arial"/>
          <w:szCs w:val="22"/>
        </w:rPr>
      </w:pPr>
      <w:r w:rsidRPr="00852AF1">
        <w:rPr>
          <w:rFonts w:ascii="Arial" w:hAnsi="Arial" w:cs="Arial"/>
          <w:szCs w:val="22"/>
        </w:rPr>
        <w:t xml:space="preserve">Выручка </w:t>
      </w:r>
      <w:r w:rsidR="000241CF" w:rsidRPr="00852AF1">
        <w:rPr>
          <w:rFonts w:ascii="Arial" w:hAnsi="Arial" w:cs="Arial"/>
          <w:szCs w:val="22"/>
        </w:rPr>
        <w:t>от</w:t>
      </w:r>
      <w:r w:rsidRPr="00852AF1">
        <w:rPr>
          <w:rFonts w:ascii="Arial" w:hAnsi="Arial" w:cs="Arial"/>
          <w:szCs w:val="22"/>
        </w:rPr>
        <w:t xml:space="preserve"> реализацию неликвидных материалов</w:t>
      </w:r>
      <w:r w:rsidR="000241CF" w:rsidRPr="00852AF1">
        <w:rPr>
          <w:rFonts w:ascii="Arial" w:hAnsi="Arial" w:cs="Arial"/>
          <w:szCs w:val="22"/>
        </w:rPr>
        <w:t xml:space="preserve"> в 20</w:t>
      </w:r>
      <w:r w:rsidR="002E27FB" w:rsidRPr="00852AF1">
        <w:rPr>
          <w:rFonts w:ascii="Arial" w:hAnsi="Arial" w:cs="Arial"/>
          <w:szCs w:val="22"/>
        </w:rPr>
        <w:t>2</w:t>
      </w:r>
      <w:r w:rsidR="00F20A8E">
        <w:rPr>
          <w:rFonts w:ascii="Arial" w:hAnsi="Arial" w:cs="Arial"/>
          <w:szCs w:val="22"/>
        </w:rPr>
        <w:t>1</w:t>
      </w:r>
      <w:r w:rsidR="000241CF" w:rsidRPr="00852AF1">
        <w:rPr>
          <w:rFonts w:ascii="Arial" w:hAnsi="Arial" w:cs="Arial"/>
          <w:szCs w:val="22"/>
        </w:rPr>
        <w:t xml:space="preserve"> году</w:t>
      </w:r>
      <w:r w:rsidRPr="00852AF1">
        <w:rPr>
          <w:rFonts w:ascii="Arial" w:hAnsi="Arial" w:cs="Arial"/>
          <w:szCs w:val="22"/>
        </w:rPr>
        <w:t xml:space="preserve"> составила </w:t>
      </w:r>
      <w:r w:rsidR="00F20A8E">
        <w:rPr>
          <w:rFonts w:ascii="Arial" w:hAnsi="Arial" w:cs="Arial"/>
          <w:szCs w:val="22"/>
        </w:rPr>
        <w:t>27</w:t>
      </w:r>
      <w:r w:rsidR="00E21613" w:rsidRPr="00852AF1">
        <w:rPr>
          <w:rFonts w:ascii="Arial" w:hAnsi="Arial" w:cs="Arial"/>
          <w:szCs w:val="22"/>
        </w:rPr>
        <w:t>,</w:t>
      </w:r>
      <w:r w:rsidR="00F20A8E">
        <w:rPr>
          <w:rFonts w:ascii="Arial" w:hAnsi="Arial" w:cs="Arial"/>
          <w:szCs w:val="22"/>
        </w:rPr>
        <w:t>57</w:t>
      </w:r>
      <w:r w:rsidRPr="00852AF1">
        <w:rPr>
          <w:rFonts w:ascii="Arial" w:hAnsi="Arial" w:cs="Arial"/>
          <w:szCs w:val="22"/>
        </w:rPr>
        <w:t xml:space="preserve"> млн. руб.</w:t>
      </w:r>
    </w:p>
    <w:p w:rsidR="006F5CA6" w:rsidRPr="005279B4" w:rsidRDefault="000241CF" w:rsidP="00CD416F">
      <w:pPr>
        <w:pStyle w:val="ab"/>
        <w:spacing w:before="120" w:after="120"/>
        <w:ind w:left="0" w:firstLine="709"/>
        <w:jc w:val="both"/>
        <w:rPr>
          <w:rFonts w:ascii="Arial" w:hAnsi="Arial" w:cs="Arial"/>
          <w:szCs w:val="22"/>
        </w:rPr>
      </w:pPr>
      <w:r w:rsidRPr="00852AF1">
        <w:rPr>
          <w:rFonts w:ascii="Arial" w:hAnsi="Arial" w:cs="Arial"/>
          <w:szCs w:val="22"/>
        </w:rPr>
        <w:t xml:space="preserve">Выручка от </w:t>
      </w:r>
      <w:r w:rsidR="00601E51" w:rsidRPr="00852AF1">
        <w:rPr>
          <w:rFonts w:ascii="Arial" w:hAnsi="Arial" w:cs="Arial"/>
          <w:szCs w:val="22"/>
        </w:rPr>
        <w:t>реализации</w:t>
      </w:r>
      <w:r w:rsidRPr="00852AF1">
        <w:rPr>
          <w:rFonts w:ascii="Arial" w:hAnsi="Arial" w:cs="Arial"/>
          <w:szCs w:val="22"/>
        </w:rPr>
        <w:t xml:space="preserve"> продукции других производителей в</w:t>
      </w:r>
      <w:r w:rsidR="006F5CA6" w:rsidRPr="00852AF1">
        <w:rPr>
          <w:rFonts w:ascii="Arial" w:hAnsi="Arial" w:cs="Arial"/>
          <w:szCs w:val="22"/>
        </w:rPr>
        <w:t xml:space="preserve"> 20</w:t>
      </w:r>
      <w:r w:rsidR="002E27FB" w:rsidRPr="00852AF1">
        <w:rPr>
          <w:rFonts w:ascii="Arial" w:hAnsi="Arial" w:cs="Arial"/>
          <w:szCs w:val="22"/>
        </w:rPr>
        <w:t>2</w:t>
      </w:r>
      <w:r w:rsidR="00CD416F">
        <w:rPr>
          <w:rFonts w:ascii="Arial" w:hAnsi="Arial" w:cs="Arial"/>
          <w:szCs w:val="22"/>
        </w:rPr>
        <w:t>1</w:t>
      </w:r>
      <w:r w:rsidR="006F5CA6" w:rsidRPr="00852AF1">
        <w:rPr>
          <w:rFonts w:ascii="Arial" w:hAnsi="Arial" w:cs="Arial"/>
          <w:szCs w:val="22"/>
        </w:rPr>
        <w:t xml:space="preserve"> году </w:t>
      </w:r>
      <w:r w:rsidRPr="00852AF1">
        <w:rPr>
          <w:rFonts w:ascii="Arial" w:hAnsi="Arial" w:cs="Arial"/>
          <w:szCs w:val="22"/>
        </w:rPr>
        <w:t>составила</w:t>
      </w:r>
      <w:r w:rsidR="006F5CA6" w:rsidRPr="00852AF1">
        <w:rPr>
          <w:rFonts w:ascii="Arial" w:hAnsi="Arial" w:cs="Arial"/>
          <w:szCs w:val="22"/>
        </w:rPr>
        <w:t xml:space="preserve"> </w:t>
      </w:r>
      <w:r w:rsidR="00F20A8E">
        <w:rPr>
          <w:rFonts w:ascii="Arial" w:hAnsi="Arial" w:cs="Arial"/>
          <w:szCs w:val="22"/>
        </w:rPr>
        <w:t>2</w:t>
      </w:r>
      <w:r w:rsidR="006F5CA6" w:rsidRPr="00852AF1">
        <w:rPr>
          <w:rFonts w:ascii="Arial" w:hAnsi="Arial" w:cs="Arial"/>
          <w:szCs w:val="22"/>
        </w:rPr>
        <w:t> </w:t>
      </w:r>
      <w:r w:rsidR="00F20A8E">
        <w:rPr>
          <w:rFonts w:ascii="Arial" w:hAnsi="Arial" w:cs="Arial"/>
          <w:szCs w:val="22"/>
        </w:rPr>
        <w:t>773</w:t>
      </w:r>
      <w:r w:rsidR="006F5CA6" w:rsidRPr="00852AF1">
        <w:rPr>
          <w:rFonts w:ascii="Arial" w:hAnsi="Arial" w:cs="Arial"/>
          <w:szCs w:val="22"/>
        </w:rPr>
        <w:t>,</w:t>
      </w:r>
      <w:r w:rsidR="00F20A8E">
        <w:rPr>
          <w:rFonts w:ascii="Arial" w:hAnsi="Arial" w:cs="Arial"/>
          <w:szCs w:val="22"/>
        </w:rPr>
        <w:t>87</w:t>
      </w:r>
      <w:r w:rsidR="006F5CA6" w:rsidRPr="00852AF1">
        <w:rPr>
          <w:rFonts w:ascii="Arial" w:hAnsi="Arial" w:cs="Arial"/>
          <w:szCs w:val="22"/>
        </w:rPr>
        <w:t xml:space="preserve"> млн. руб</w:t>
      </w:r>
      <w:r w:rsidRPr="00852AF1">
        <w:rPr>
          <w:rFonts w:ascii="Arial" w:hAnsi="Arial" w:cs="Arial"/>
          <w:szCs w:val="22"/>
        </w:rPr>
        <w:t>.</w:t>
      </w:r>
    </w:p>
    <w:p w:rsidR="0097754B" w:rsidRPr="00044C17" w:rsidRDefault="0097754B">
      <w:pPr>
        <w:spacing w:after="200"/>
        <w:jc w:val="both"/>
        <w:rPr>
          <w:rFonts w:ascii="Arial" w:hAnsi="Arial" w:cs="Arial"/>
          <w:b/>
          <w:bCs/>
          <w:sz w:val="32"/>
          <w:highlight w:val="yellow"/>
        </w:rPr>
      </w:pPr>
      <w:bookmarkStart w:id="16" w:name="_Toc415487671"/>
    </w:p>
    <w:p w:rsidR="006970EE" w:rsidRPr="00A26C87" w:rsidRDefault="006970EE" w:rsidP="00530215">
      <w:pPr>
        <w:pStyle w:val="1"/>
        <w:spacing w:before="120" w:after="120"/>
        <w:rPr>
          <w:rFonts w:ascii="Arial" w:hAnsi="Arial" w:cs="Arial"/>
          <w:sz w:val="32"/>
        </w:rPr>
      </w:pPr>
      <w:bookmarkStart w:id="17" w:name="_Toc100678740"/>
      <w:r w:rsidRPr="007A2207">
        <w:rPr>
          <w:rFonts w:ascii="Arial" w:hAnsi="Arial" w:cs="Arial"/>
          <w:sz w:val="32"/>
        </w:rPr>
        <w:t>Приоритетные направления деятельности Общества</w:t>
      </w:r>
      <w:bookmarkEnd w:id="16"/>
      <w:bookmarkEnd w:id="17"/>
    </w:p>
    <w:p w:rsidR="005D3AA8" w:rsidRPr="00210EB8" w:rsidRDefault="005D3AA8" w:rsidP="00530215">
      <w:pPr>
        <w:spacing w:before="120" w:after="120"/>
        <w:ind w:firstLine="709"/>
        <w:jc w:val="both"/>
        <w:rPr>
          <w:rFonts w:ascii="Arial" w:hAnsi="Arial" w:cs="Arial"/>
          <w:bCs/>
          <w:szCs w:val="22"/>
        </w:rPr>
      </w:pPr>
      <w:r w:rsidRPr="00210EB8">
        <w:rPr>
          <w:rFonts w:ascii="Arial" w:hAnsi="Arial" w:cs="Arial"/>
          <w:bCs/>
          <w:szCs w:val="22"/>
        </w:rPr>
        <w:t>Приоритетными направлениями деятельности Общества являются: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доли своего присутствия на рынках продукции доменного производства;</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объема продаж неосновных видов продукции;</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квалификации работников на всех уровнях;</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качества выпускаемой продукции, улучшение процессов контроля качества продукции и сырья;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044C17" w:rsidRDefault="00FF2213" w:rsidP="00530215">
      <w:pPr>
        <w:spacing w:before="120" w:after="120"/>
        <w:jc w:val="both"/>
        <w:rPr>
          <w:rFonts w:ascii="Arial" w:hAnsi="Arial" w:cs="Arial"/>
          <w:bCs/>
          <w:highlight w:val="yellow"/>
        </w:rPr>
      </w:pPr>
    </w:p>
    <w:p w:rsidR="008852B6" w:rsidRPr="0004399D" w:rsidRDefault="008852B6" w:rsidP="00530215">
      <w:pPr>
        <w:pStyle w:val="1"/>
        <w:spacing w:before="120" w:after="120"/>
        <w:rPr>
          <w:rFonts w:ascii="Arial" w:hAnsi="Arial" w:cs="Arial"/>
          <w:sz w:val="32"/>
        </w:rPr>
      </w:pPr>
      <w:bookmarkStart w:id="18" w:name="_Toc415487672"/>
      <w:bookmarkStart w:id="19" w:name="_Toc100678741"/>
      <w:r w:rsidRPr="0004399D">
        <w:rPr>
          <w:rFonts w:ascii="Arial" w:hAnsi="Arial" w:cs="Arial"/>
          <w:sz w:val="32"/>
        </w:rPr>
        <w:t>Отчет совета директоров о результатах развития по приоритетным направлениям деятельности Общества</w:t>
      </w:r>
      <w:bookmarkEnd w:id="18"/>
      <w:bookmarkEnd w:id="19"/>
    </w:p>
    <w:p w:rsidR="008852B6" w:rsidRPr="00210EB8" w:rsidRDefault="008852B6" w:rsidP="00530215">
      <w:pPr>
        <w:pStyle w:val="2"/>
        <w:spacing w:before="120" w:after="120"/>
        <w:rPr>
          <w:rFonts w:ascii="Arial" w:hAnsi="Arial" w:cs="Arial"/>
          <w:i/>
          <w:color w:val="auto"/>
          <w:sz w:val="28"/>
        </w:rPr>
      </w:pPr>
      <w:bookmarkStart w:id="20" w:name="_Toc415487673"/>
      <w:bookmarkStart w:id="21" w:name="_Toc100678742"/>
      <w:r w:rsidRPr="00911CEC">
        <w:rPr>
          <w:rFonts w:ascii="Arial" w:hAnsi="Arial" w:cs="Arial"/>
          <w:i/>
          <w:color w:val="auto"/>
          <w:sz w:val="28"/>
        </w:rPr>
        <w:t>Производство</w:t>
      </w:r>
      <w:bookmarkEnd w:id="20"/>
      <w:bookmarkEnd w:id="21"/>
    </w:p>
    <w:p w:rsidR="003C1AD4" w:rsidRPr="004E2102" w:rsidRDefault="003C1AD4" w:rsidP="003C1AD4">
      <w:pPr>
        <w:spacing w:before="120" w:after="120"/>
        <w:ind w:firstLine="709"/>
        <w:jc w:val="both"/>
        <w:rPr>
          <w:rFonts w:ascii="Arial" w:hAnsi="Arial" w:cs="Arial"/>
          <w:szCs w:val="22"/>
        </w:rPr>
      </w:pPr>
      <w:bookmarkStart w:id="22" w:name="_Toc415487674"/>
      <w:r w:rsidRPr="004E2102">
        <w:rPr>
          <w:rFonts w:ascii="Arial" w:hAnsi="Arial" w:cs="Arial"/>
          <w:szCs w:val="22"/>
        </w:rPr>
        <w:t>В 20</w:t>
      </w:r>
      <w:r w:rsidR="00845417">
        <w:rPr>
          <w:rFonts w:ascii="Arial" w:hAnsi="Arial" w:cs="Arial"/>
          <w:szCs w:val="22"/>
        </w:rPr>
        <w:t>2</w:t>
      </w:r>
      <w:r w:rsidR="00331501">
        <w:rPr>
          <w:rFonts w:ascii="Arial" w:hAnsi="Arial" w:cs="Arial"/>
          <w:szCs w:val="22"/>
        </w:rPr>
        <w:t>1</w:t>
      </w:r>
      <w:r w:rsidRPr="004E2102">
        <w:rPr>
          <w:rFonts w:ascii="Arial" w:hAnsi="Arial" w:cs="Arial"/>
          <w:szCs w:val="22"/>
        </w:rPr>
        <w:t xml:space="preserve"> году</w:t>
      </w:r>
      <w:r w:rsidRPr="004E2102">
        <w:rPr>
          <w:rFonts w:ascii="Arial" w:hAnsi="Arial" w:cs="Arial"/>
          <w:bCs/>
          <w:szCs w:val="22"/>
        </w:rPr>
        <w:t xml:space="preserve"> объемы производства основных видов продукции на ПАО «КМЗ» </w:t>
      </w:r>
      <w:r w:rsidRPr="004E2102">
        <w:rPr>
          <w:rFonts w:ascii="Arial" w:hAnsi="Arial" w:cs="Arial"/>
          <w:szCs w:val="22"/>
        </w:rPr>
        <w:t>составили:</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чугуна – </w:t>
      </w:r>
      <w:r w:rsidR="00331501">
        <w:rPr>
          <w:rFonts w:ascii="Arial" w:hAnsi="Arial" w:cs="Arial"/>
          <w:szCs w:val="22"/>
        </w:rPr>
        <w:t>269</w:t>
      </w:r>
      <w:r w:rsidRPr="004E2102">
        <w:rPr>
          <w:rFonts w:ascii="Arial" w:hAnsi="Arial" w:cs="Arial"/>
          <w:szCs w:val="22"/>
        </w:rPr>
        <w:t>,</w:t>
      </w:r>
      <w:r w:rsidR="00331501">
        <w:rPr>
          <w:rFonts w:ascii="Arial" w:hAnsi="Arial" w:cs="Arial"/>
          <w:szCs w:val="22"/>
        </w:rPr>
        <w:t>38</w:t>
      </w:r>
      <w:r w:rsidRPr="004E2102">
        <w:rPr>
          <w:rFonts w:ascii="Arial" w:hAnsi="Arial" w:cs="Arial"/>
          <w:szCs w:val="22"/>
        </w:rPr>
        <w:t xml:space="preserve"> тыс. т, в том числе </w:t>
      </w:r>
      <w:r w:rsidR="00331501">
        <w:rPr>
          <w:rFonts w:ascii="Arial" w:hAnsi="Arial" w:cs="Arial"/>
          <w:szCs w:val="22"/>
        </w:rPr>
        <w:t>82</w:t>
      </w:r>
      <w:r w:rsidR="00F64C6A" w:rsidRPr="004E2102">
        <w:rPr>
          <w:rFonts w:ascii="Arial" w:hAnsi="Arial" w:cs="Arial"/>
          <w:szCs w:val="22"/>
        </w:rPr>
        <w:t>,</w:t>
      </w:r>
      <w:r w:rsidR="00331501">
        <w:rPr>
          <w:rFonts w:ascii="Arial" w:hAnsi="Arial" w:cs="Arial"/>
          <w:szCs w:val="22"/>
        </w:rPr>
        <w:t>33</w:t>
      </w:r>
      <w:r w:rsidRPr="004E2102">
        <w:rPr>
          <w:rFonts w:ascii="Arial" w:hAnsi="Arial" w:cs="Arial"/>
          <w:szCs w:val="22"/>
        </w:rPr>
        <w:t xml:space="preserve"> тыс. т литейного и </w:t>
      </w:r>
      <w:r w:rsidR="00331501">
        <w:rPr>
          <w:rFonts w:ascii="Arial" w:hAnsi="Arial" w:cs="Arial"/>
          <w:szCs w:val="22"/>
        </w:rPr>
        <w:t>187</w:t>
      </w:r>
      <w:r w:rsidR="00F64C6A" w:rsidRPr="004E2102">
        <w:rPr>
          <w:rFonts w:ascii="Arial" w:hAnsi="Arial" w:cs="Arial"/>
          <w:szCs w:val="22"/>
        </w:rPr>
        <w:t>,</w:t>
      </w:r>
      <w:r w:rsidR="00331501">
        <w:rPr>
          <w:rFonts w:ascii="Arial" w:hAnsi="Arial" w:cs="Arial"/>
          <w:szCs w:val="22"/>
        </w:rPr>
        <w:t>05</w:t>
      </w:r>
      <w:r w:rsidRPr="004E2102">
        <w:rPr>
          <w:rFonts w:ascii="Arial" w:hAnsi="Arial" w:cs="Arial"/>
          <w:szCs w:val="22"/>
        </w:rPr>
        <w:t xml:space="preserve"> тыс. т передельного. Производство чугуна по отношению к 20</w:t>
      </w:r>
      <w:r w:rsidR="00331501">
        <w:rPr>
          <w:rFonts w:ascii="Arial" w:hAnsi="Arial" w:cs="Arial"/>
          <w:szCs w:val="22"/>
        </w:rPr>
        <w:t>20</w:t>
      </w:r>
      <w:r w:rsidRPr="004E2102">
        <w:rPr>
          <w:rFonts w:ascii="Arial" w:hAnsi="Arial" w:cs="Arial"/>
          <w:szCs w:val="22"/>
        </w:rPr>
        <w:t xml:space="preserve"> году </w:t>
      </w:r>
      <w:r w:rsidR="00331501">
        <w:rPr>
          <w:rFonts w:ascii="Arial" w:hAnsi="Arial" w:cs="Arial"/>
          <w:szCs w:val="22"/>
        </w:rPr>
        <w:t>снизилось</w:t>
      </w:r>
      <w:r w:rsidRPr="004E2102">
        <w:rPr>
          <w:rFonts w:ascii="Arial" w:hAnsi="Arial" w:cs="Arial"/>
          <w:szCs w:val="22"/>
        </w:rPr>
        <w:t xml:space="preserve"> на </w:t>
      </w:r>
      <w:r w:rsidR="00331501">
        <w:rPr>
          <w:rFonts w:ascii="Arial" w:hAnsi="Arial" w:cs="Arial"/>
          <w:szCs w:val="22"/>
        </w:rPr>
        <w:t>22</w:t>
      </w:r>
      <w:r w:rsidRPr="004E2102">
        <w:rPr>
          <w:rFonts w:ascii="Arial" w:hAnsi="Arial" w:cs="Arial"/>
          <w:szCs w:val="22"/>
        </w:rPr>
        <w:t xml:space="preserve">%. Из общего количества передельного чугуна </w:t>
      </w:r>
      <w:r w:rsidR="00331501">
        <w:rPr>
          <w:rFonts w:ascii="Arial" w:hAnsi="Arial" w:cs="Arial"/>
          <w:szCs w:val="22"/>
        </w:rPr>
        <w:t>24</w:t>
      </w:r>
      <w:r w:rsidRPr="004E2102">
        <w:rPr>
          <w:rFonts w:ascii="Arial" w:hAnsi="Arial" w:cs="Arial"/>
          <w:szCs w:val="22"/>
        </w:rPr>
        <w:t>%</w:t>
      </w:r>
      <w:r w:rsidR="005365F0" w:rsidRPr="004E2102">
        <w:rPr>
          <w:rFonts w:ascii="Arial" w:hAnsi="Arial" w:cs="Arial"/>
          <w:szCs w:val="22"/>
        </w:rPr>
        <w:t xml:space="preserve"> составил</w:t>
      </w:r>
      <w:r w:rsidRPr="004E2102">
        <w:rPr>
          <w:rFonts w:ascii="Arial" w:hAnsi="Arial" w:cs="Arial"/>
          <w:szCs w:val="22"/>
        </w:rPr>
        <w:t xml:space="preserve"> чугун высокого качества – нодулярн</w:t>
      </w:r>
      <w:r w:rsidR="005365F0" w:rsidRPr="004E2102">
        <w:rPr>
          <w:rFonts w:ascii="Arial" w:hAnsi="Arial" w:cs="Arial"/>
          <w:szCs w:val="22"/>
        </w:rPr>
        <w:t>ый</w:t>
      </w:r>
      <w:r w:rsidRPr="004E2102">
        <w:rPr>
          <w:rFonts w:ascii="Arial" w:hAnsi="Arial" w:cs="Arial"/>
          <w:szCs w:val="22"/>
        </w:rPr>
        <w:t xml:space="preserve"> и полунодулярн</w:t>
      </w:r>
      <w:r w:rsidR="005365F0" w:rsidRPr="004E2102">
        <w:rPr>
          <w:rFonts w:ascii="Arial" w:hAnsi="Arial" w:cs="Arial"/>
          <w:szCs w:val="22"/>
        </w:rPr>
        <w:t>ый</w:t>
      </w:r>
      <w:r w:rsidRPr="004E2102">
        <w:rPr>
          <w:rFonts w:ascii="Arial" w:hAnsi="Arial" w:cs="Arial"/>
          <w:szCs w:val="22"/>
        </w:rPr>
        <w:t>;</w:t>
      </w:r>
    </w:p>
    <w:p w:rsidR="003C1AD4" w:rsidRPr="004E2102" w:rsidRDefault="003C1AD4" w:rsidP="003C1AD4">
      <w:pPr>
        <w:numPr>
          <w:ilvl w:val="0"/>
          <w:numId w:val="5"/>
        </w:numPr>
        <w:spacing w:before="120" w:after="120"/>
        <w:jc w:val="both"/>
        <w:rPr>
          <w:rFonts w:ascii="Arial" w:hAnsi="Arial" w:cs="Arial"/>
          <w:szCs w:val="22"/>
        </w:rPr>
      </w:pPr>
      <w:r w:rsidRPr="004E2102">
        <w:rPr>
          <w:rFonts w:ascii="Arial" w:hAnsi="Arial" w:cs="Arial"/>
          <w:szCs w:val="22"/>
        </w:rPr>
        <w:t xml:space="preserve">ферромарганца – </w:t>
      </w:r>
      <w:r w:rsidR="00331501">
        <w:rPr>
          <w:rFonts w:ascii="Arial" w:hAnsi="Arial" w:cs="Arial"/>
          <w:szCs w:val="22"/>
        </w:rPr>
        <w:t>84</w:t>
      </w:r>
      <w:r w:rsidR="005365F0" w:rsidRPr="004E2102">
        <w:rPr>
          <w:rFonts w:ascii="Arial" w:hAnsi="Arial" w:cs="Arial"/>
          <w:szCs w:val="22"/>
        </w:rPr>
        <w:t>,</w:t>
      </w:r>
      <w:r w:rsidR="00331501">
        <w:rPr>
          <w:rFonts w:ascii="Arial" w:hAnsi="Arial" w:cs="Arial"/>
          <w:szCs w:val="22"/>
        </w:rPr>
        <w:t>33</w:t>
      </w:r>
      <w:r w:rsidRPr="004E2102">
        <w:rPr>
          <w:rFonts w:ascii="Arial" w:hAnsi="Arial" w:cs="Arial"/>
          <w:szCs w:val="22"/>
        </w:rPr>
        <w:t xml:space="preserve"> тыс. т. </w:t>
      </w:r>
      <w:r w:rsidR="00331501">
        <w:rPr>
          <w:rFonts w:ascii="Arial" w:hAnsi="Arial" w:cs="Arial"/>
          <w:szCs w:val="22"/>
        </w:rPr>
        <w:t>Рост</w:t>
      </w:r>
      <w:r w:rsidRPr="004E2102">
        <w:rPr>
          <w:rFonts w:ascii="Arial" w:hAnsi="Arial" w:cs="Arial"/>
          <w:szCs w:val="22"/>
        </w:rPr>
        <w:t xml:space="preserve"> объема производства к уровню 20</w:t>
      </w:r>
      <w:r w:rsidR="00331501">
        <w:rPr>
          <w:rFonts w:ascii="Arial" w:hAnsi="Arial" w:cs="Arial"/>
          <w:szCs w:val="22"/>
        </w:rPr>
        <w:t>20</w:t>
      </w:r>
      <w:r w:rsidRPr="004E2102">
        <w:rPr>
          <w:rFonts w:ascii="Arial" w:hAnsi="Arial" w:cs="Arial"/>
          <w:szCs w:val="22"/>
        </w:rPr>
        <w:t xml:space="preserve"> года составил </w:t>
      </w:r>
      <w:r w:rsidR="00331501">
        <w:rPr>
          <w:rFonts w:ascii="Arial" w:hAnsi="Arial" w:cs="Arial"/>
          <w:szCs w:val="22"/>
        </w:rPr>
        <w:t>36</w:t>
      </w:r>
      <w:r w:rsidR="00EB106F" w:rsidRPr="004E2102">
        <w:rPr>
          <w:rFonts w:ascii="Arial" w:hAnsi="Arial" w:cs="Arial"/>
          <w:szCs w:val="22"/>
        </w:rPr>
        <w:t>,</w:t>
      </w:r>
      <w:r w:rsidR="00331501">
        <w:rPr>
          <w:rFonts w:ascii="Arial" w:hAnsi="Arial" w:cs="Arial"/>
          <w:szCs w:val="22"/>
        </w:rPr>
        <w:t>9</w:t>
      </w:r>
      <w:r w:rsidRPr="004E2102">
        <w:rPr>
          <w:rFonts w:ascii="Arial" w:hAnsi="Arial" w:cs="Arial"/>
          <w:szCs w:val="22"/>
        </w:rPr>
        <w:t xml:space="preserve">%. В общем объеме ферромарганца выплавлено </w:t>
      </w:r>
      <w:r w:rsidR="00331501">
        <w:rPr>
          <w:rFonts w:ascii="Arial" w:hAnsi="Arial" w:cs="Arial"/>
          <w:szCs w:val="22"/>
        </w:rPr>
        <w:t>83,22</w:t>
      </w:r>
      <w:r w:rsidRPr="004E2102">
        <w:rPr>
          <w:rFonts w:ascii="Arial" w:hAnsi="Arial" w:cs="Arial"/>
          <w:szCs w:val="22"/>
        </w:rPr>
        <w:t xml:space="preserve"> тыс. т ферромарганца марки ФМн-78.</w:t>
      </w:r>
    </w:p>
    <w:p w:rsidR="00307C04" w:rsidRPr="004E2102" w:rsidRDefault="00307C04" w:rsidP="00307C04">
      <w:pPr>
        <w:spacing w:before="120" w:after="120"/>
        <w:ind w:firstLine="709"/>
        <w:jc w:val="both"/>
        <w:rPr>
          <w:rFonts w:ascii="Arial" w:hAnsi="Arial" w:cs="Arial"/>
          <w:szCs w:val="22"/>
        </w:rPr>
      </w:pPr>
      <w:r w:rsidRPr="00942A97">
        <w:rPr>
          <w:rFonts w:ascii="Arial" w:hAnsi="Arial" w:cs="Arial"/>
          <w:szCs w:val="22"/>
        </w:rPr>
        <w:t>В структуре произведенной товарной продукции доля чугуна и ферромарганца составляет 9</w:t>
      </w:r>
      <w:r w:rsidR="00942A97" w:rsidRPr="00942A97">
        <w:rPr>
          <w:rFonts w:ascii="Arial" w:hAnsi="Arial" w:cs="Arial"/>
          <w:szCs w:val="22"/>
        </w:rPr>
        <w:t>7</w:t>
      </w:r>
      <w:r w:rsidRPr="00942A97">
        <w:rPr>
          <w:rFonts w:ascii="Arial" w:hAnsi="Arial" w:cs="Arial"/>
          <w:szCs w:val="22"/>
        </w:rPr>
        <w:t>,</w:t>
      </w:r>
      <w:r w:rsidR="00904C4D">
        <w:rPr>
          <w:rFonts w:ascii="Arial" w:hAnsi="Arial" w:cs="Arial"/>
          <w:szCs w:val="22"/>
        </w:rPr>
        <w:t>66</w:t>
      </w:r>
      <w:r w:rsidRPr="00942A97">
        <w:rPr>
          <w:rFonts w:ascii="Arial" w:hAnsi="Arial" w:cs="Arial"/>
          <w:szCs w:val="22"/>
        </w:rPr>
        <w:t xml:space="preserve">%, доля производства чугуна дробленого и щебня шлакового – </w:t>
      </w:r>
      <w:r w:rsidR="00942A97" w:rsidRPr="00942A97">
        <w:rPr>
          <w:rFonts w:ascii="Arial" w:hAnsi="Arial" w:cs="Arial"/>
          <w:szCs w:val="22"/>
        </w:rPr>
        <w:t>0</w:t>
      </w:r>
      <w:r w:rsidRPr="00942A97">
        <w:rPr>
          <w:rFonts w:ascii="Arial" w:hAnsi="Arial" w:cs="Arial"/>
          <w:szCs w:val="22"/>
        </w:rPr>
        <w:t>,</w:t>
      </w:r>
      <w:r w:rsidR="00904C4D">
        <w:rPr>
          <w:rFonts w:ascii="Arial" w:hAnsi="Arial" w:cs="Arial"/>
          <w:szCs w:val="22"/>
        </w:rPr>
        <w:t>52</w:t>
      </w:r>
      <w:r w:rsidRPr="00942A97">
        <w:rPr>
          <w:rFonts w:ascii="Arial" w:hAnsi="Arial" w:cs="Arial"/>
          <w:szCs w:val="22"/>
        </w:rPr>
        <w:t xml:space="preserve">%, теплоэнергии – </w:t>
      </w:r>
      <w:r w:rsidR="00190BEC" w:rsidRPr="00942A97">
        <w:rPr>
          <w:rFonts w:ascii="Arial" w:hAnsi="Arial" w:cs="Arial"/>
          <w:szCs w:val="22"/>
        </w:rPr>
        <w:t>1</w:t>
      </w:r>
      <w:r w:rsidRPr="00942A97">
        <w:rPr>
          <w:rFonts w:ascii="Arial" w:hAnsi="Arial" w:cs="Arial"/>
          <w:szCs w:val="22"/>
        </w:rPr>
        <w:t>,</w:t>
      </w:r>
      <w:r w:rsidR="00942A97" w:rsidRPr="00942A97">
        <w:rPr>
          <w:rFonts w:ascii="Arial" w:hAnsi="Arial" w:cs="Arial"/>
          <w:szCs w:val="22"/>
        </w:rPr>
        <w:t>21</w:t>
      </w:r>
      <w:r w:rsidRPr="00942A97">
        <w:rPr>
          <w:rFonts w:ascii="Arial" w:hAnsi="Arial" w:cs="Arial"/>
          <w:szCs w:val="22"/>
        </w:rPr>
        <w:t xml:space="preserve">%, прочей продукции – </w:t>
      </w:r>
      <w:r w:rsidR="00942A97" w:rsidRPr="00942A97">
        <w:rPr>
          <w:rFonts w:ascii="Arial" w:hAnsi="Arial" w:cs="Arial"/>
          <w:szCs w:val="22"/>
        </w:rPr>
        <w:t>0</w:t>
      </w:r>
      <w:r w:rsidRPr="00942A97">
        <w:rPr>
          <w:rFonts w:ascii="Arial" w:hAnsi="Arial" w:cs="Arial"/>
          <w:szCs w:val="22"/>
        </w:rPr>
        <w:t>,</w:t>
      </w:r>
      <w:r w:rsidR="00942A97" w:rsidRPr="00942A97">
        <w:rPr>
          <w:rFonts w:ascii="Arial" w:hAnsi="Arial" w:cs="Arial"/>
          <w:szCs w:val="22"/>
        </w:rPr>
        <w:t>61</w:t>
      </w:r>
      <w:r w:rsidRPr="00942A97">
        <w:rPr>
          <w:rFonts w:ascii="Arial" w:hAnsi="Arial" w:cs="Arial"/>
          <w:szCs w:val="22"/>
        </w:rPr>
        <w:t>%.</w:t>
      </w:r>
    </w:p>
    <w:p w:rsidR="003C1AD4" w:rsidRDefault="003C1AD4" w:rsidP="003C1AD4">
      <w:pPr>
        <w:pStyle w:val="a5"/>
        <w:spacing w:before="120" w:after="120"/>
        <w:ind w:firstLine="709"/>
        <w:jc w:val="center"/>
        <w:rPr>
          <w:rFonts w:ascii="Arial" w:hAnsi="Arial" w:cs="Arial"/>
          <w:bCs/>
          <w:i/>
          <w:szCs w:val="22"/>
        </w:rPr>
      </w:pPr>
      <w:r w:rsidRPr="004E2102">
        <w:rPr>
          <w:rFonts w:ascii="Arial" w:hAnsi="Arial" w:cs="Arial"/>
          <w:bCs/>
          <w:i/>
          <w:szCs w:val="22"/>
        </w:rPr>
        <w:t xml:space="preserve">Таблица </w:t>
      </w:r>
      <w:r w:rsidR="006B7CE0">
        <w:rPr>
          <w:rFonts w:ascii="Arial" w:hAnsi="Arial" w:cs="Arial"/>
          <w:bCs/>
          <w:i/>
          <w:szCs w:val="22"/>
        </w:rPr>
        <w:t>5</w:t>
      </w:r>
      <w:r w:rsidRPr="004E2102">
        <w:rPr>
          <w:rFonts w:ascii="Arial" w:hAnsi="Arial" w:cs="Arial"/>
          <w:bCs/>
          <w:i/>
          <w:szCs w:val="22"/>
        </w:rPr>
        <w:t>. Объемы производства продукции на ПАО «КМЗ» в 20</w:t>
      </w:r>
      <w:r w:rsidR="0077628D" w:rsidRPr="0077628D">
        <w:rPr>
          <w:rFonts w:ascii="Arial" w:hAnsi="Arial" w:cs="Arial"/>
          <w:bCs/>
          <w:i/>
          <w:szCs w:val="22"/>
        </w:rPr>
        <w:t>21</w:t>
      </w:r>
      <w:r w:rsidRPr="004E2102">
        <w:rPr>
          <w:rFonts w:ascii="Arial" w:hAnsi="Arial" w:cs="Arial"/>
          <w:bCs/>
          <w:i/>
          <w:szCs w:val="22"/>
        </w:rPr>
        <w:t xml:space="preserve"> году</w:t>
      </w:r>
    </w:p>
    <w:tbl>
      <w:tblPr>
        <w:tblW w:w="9913" w:type="dxa"/>
        <w:tblLook w:val="04A0"/>
      </w:tblPr>
      <w:tblGrid>
        <w:gridCol w:w="2684"/>
        <w:gridCol w:w="992"/>
        <w:gridCol w:w="1417"/>
        <w:gridCol w:w="1418"/>
        <w:gridCol w:w="1701"/>
        <w:gridCol w:w="1701"/>
      </w:tblGrid>
      <w:tr w:rsidR="0077628D" w:rsidRPr="0077628D" w:rsidTr="0077628D">
        <w:trPr>
          <w:trHeight w:val="495"/>
        </w:trPr>
        <w:tc>
          <w:tcPr>
            <w:tcW w:w="2684" w:type="dxa"/>
            <w:tcBorders>
              <w:top w:val="single" w:sz="8" w:space="0" w:color="auto"/>
              <w:left w:val="single" w:sz="8" w:space="0" w:color="auto"/>
              <w:bottom w:val="single" w:sz="8" w:space="0" w:color="auto"/>
              <w:right w:val="single" w:sz="8" w:space="0" w:color="auto"/>
            </w:tcBorders>
            <w:shd w:val="clear" w:color="000000" w:fill="C6D9F1"/>
            <w:noWrap/>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lastRenderedPageBreak/>
              <w:t>Наименование</w:t>
            </w:r>
          </w:p>
        </w:tc>
        <w:tc>
          <w:tcPr>
            <w:tcW w:w="992" w:type="dxa"/>
            <w:tcBorders>
              <w:top w:val="single" w:sz="8" w:space="0" w:color="auto"/>
              <w:left w:val="nil"/>
              <w:bottom w:val="single" w:sz="8" w:space="0" w:color="auto"/>
              <w:right w:val="single" w:sz="8" w:space="0" w:color="auto"/>
            </w:tcBorders>
            <w:shd w:val="clear" w:color="000000" w:fill="C6D9F1"/>
            <w:noWrap/>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Ед. изм.</w:t>
            </w:r>
          </w:p>
        </w:tc>
        <w:tc>
          <w:tcPr>
            <w:tcW w:w="1417" w:type="dxa"/>
            <w:tcBorders>
              <w:top w:val="single" w:sz="8" w:space="0" w:color="auto"/>
              <w:left w:val="nil"/>
              <w:bottom w:val="single" w:sz="8" w:space="0" w:color="auto"/>
              <w:right w:val="single" w:sz="8" w:space="0" w:color="auto"/>
            </w:tcBorders>
            <w:shd w:val="clear" w:color="000000" w:fill="C6D9F1"/>
            <w:noWrap/>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2021</w:t>
            </w:r>
          </w:p>
        </w:tc>
        <w:tc>
          <w:tcPr>
            <w:tcW w:w="1418" w:type="dxa"/>
            <w:tcBorders>
              <w:top w:val="single" w:sz="8" w:space="0" w:color="auto"/>
              <w:left w:val="nil"/>
              <w:bottom w:val="single" w:sz="8" w:space="0" w:color="auto"/>
              <w:right w:val="single" w:sz="8" w:space="0" w:color="auto"/>
            </w:tcBorders>
            <w:shd w:val="clear" w:color="000000" w:fill="C6D9F1"/>
            <w:noWrap/>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2020</w:t>
            </w:r>
          </w:p>
        </w:tc>
        <w:tc>
          <w:tcPr>
            <w:tcW w:w="1701" w:type="dxa"/>
            <w:tcBorders>
              <w:top w:val="single" w:sz="8" w:space="0" w:color="auto"/>
              <w:left w:val="nil"/>
              <w:bottom w:val="single" w:sz="8" w:space="0" w:color="auto"/>
              <w:right w:val="single" w:sz="8" w:space="0" w:color="auto"/>
            </w:tcBorders>
            <w:shd w:val="clear" w:color="000000" w:fill="C6D9F1"/>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Абсолютное отклонение</w:t>
            </w:r>
          </w:p>
        </w:tc>
        <w:tc>
          <w:tcPr>
            <w:tcW w:w="1701" w:type="dxa"/>
            <w:tcBorders>
              <w:top w:val="single" w:sz="8" w:space="0" w:color="auto"/>
              <w:left w:val="nil"/>
              <w:bottom w:val="single" w:sz="8" w:space="0" w:color="auto"/>
              <w:right w:val="single" w:sz="8" w:space="0" w:color="auto"/>
            </w:tcBorders>
            <w:shd w:val="clear" w:color="000000" w:fill="C6D9F1"/>
            <w:vAlign w:val="center"/>
            <w:hideMark/>
          </w:tcPr>
          <w:p w:rsidR="0077628D" w:rsidRPr="0077628D" w:rsidRDefault="0077628D" w:rsidP="0077628D">
            <w:pPr>
              <w:jc w:val="center"/>
              <w:rPr>
                <w:rFonts w:ascii="Arial" w:hAnsi="Arial" w:cs="Arial"/>
                <w:b/>
                <w:bCs/>
                <w:color w:val="000000"/>
                <w:sz w:val="18"/>
                <w:szCs w:val="18"/>
              </w:rPr>
            </w:pPr>
            <w:r w:rsidRPr="0077628D">
              <w:rPr>
                <w:rFonts w:ascii="Arial" w:hAnsi="Arial" w:cs="Arial"/>
                <w:b/>
                <w:bCs/>
                <w:color w:val="000000"/>
                <w:sz w:val="18"/>
                <w:szCs w:val="18"/>
              </w:rPr>
              <w:t>Прирост</w:t>
            </w:r>
          </w:p>
        </w:tc>
      </w:tr>
      <w:tr w:rsidR="0077628D" w:rsidRPr="0077628D" w:rsidTr="0077628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1</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2</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3</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4</w:t>
            </w:r>
          </w:p>
        </w:tc>
        <w:tc>
          <w:tcPr>
            <w:tcW w:w="1701" w:type="dxa"/>
            <w:tcBorders>
              <w:top w:val="nil"/>
              <w:left w:val="nil"/>
              <w:bottom w:val="single" w:sz="8" w:space="0" w:color="auto"/>
              <w:right w:val="single" w:sz="8" w:space="0" w:color="auto"/>
            </w:tcBorders>
            <w:shd w:val="clear" w:color="auto" w:fill="auto"/>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5  (ст.3-ст.4)</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6 (ст.5/ст.4)</w:t>
            </w:r>
          </w:p>
        </w:tc>
      </w:tr>
      <w:tr w:rsidR="0077628D" w:rsidRPr="0077628D" w:rsidTr="0077628D">
        <w:trPr>
          <w:trHeight w:val="73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Объем производства чугуна</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269 375</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345 458</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-76 082</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-22,02%</w:t>
            </w:r>
          </w:p>
        </w:tc>
      </w:tr>
      <w:tr w:rsidR="0077628D" w:rsidRPr="0077628D" w:rsidTr="0077628D">
        <w:trPr>
          <w:trHeight w:val="49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в том числе: литейный</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82 329</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71 178</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11 151</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15,67%</w:t>
            </w:r>
          </w:p>
        </w:tc>
      </w:tr>
      <w:tr w:rsidR="0077628D" w:rsidRPr="0077628D" w:rsidTr="0077628D">
        <w:trPr>
          <w:trHeight w:val="49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 xml:space="preserve">                      передельный</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187 046</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274 280</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-87 233</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-31,80%</w:t>
            </w:r>
          </w:p>
        </w:tc>
      </w:tr>
      <w:tr w:rsidR="0077628D" w:rsidRPr="0077628D" w:rsidTr="0077628D">
        <w:trPr>
          <w:trHeight w:val="97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Объем производства ферромарганца</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84 327</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61 610</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22 716</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36,87%</w:t>
            </w:r>
          </w:p>
        </w:tc>
      </w:tr>
      <w:tr w:rsidR="0077628D" w:rsidRPr="0077628D" w:rsidTr="0077628D">
        <w:trPr>
          <w:trHeight w:val="73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Выработка электроэнергии</w:t>
            </w:r>
          </w:p>
        </w:tc>
        <w:tc>
          <w:tcPr>
            <w:tcW w:w="992" w:type="dxa"/>
            <w:tcBorders>
              <w:top w:val="nil"/>
              <w:left w:val="nil"/>
              <w:bottom w:val="single" w:sz="8" w:space="0" w:color="auto"/>
              <w:right w:val="single" w:sz="8" w:space="0" w:color="auto"/>
            </w:tcBorders>
            <w:shd w:val="clear" w:color="auto" w:fill="auto"/>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тыс. кВт-ч</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113 238</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122 424</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-9 186</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-7,50%</w:t>
            </w:r>
          </w:p>
        </w:tc>
      </w:tr>
      <w:tr w:rsidR="0077628D" w:rsidRPr="0077628D" w:rsidTr="0077628D">
        <w:trPr>
          <w:trHeight w:val="73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Производство литейной продукции</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1 672</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2 013</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-341</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-16,94%</w:t>
            </w:r>
          </w:p>
        </w:tc>
      </w:tr>
      <w:tr w:rsidR="0077628D" w:rsidRPr="0077628D" w:rsidTr="0077628D">
        <w:trPr>
          <w:trHeight w:val="315"/>
        </w:trPr>
        <w:tc>
          <w:tcPr>
            <w:tcW w:w="9913"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7628D" w:rsidRPr="0077628D" w:rsidRDefault="0077628D" w:rsidP="0077628D">
            <w:pPr>
              <w:rPr>
                <w:rFonts w:ascii="Arial" w:hAnsi="Arial" w:cs="Arial"/>
                <w:i/>
                <w:iCs/>
                <w:color w:val="000000"/>
                <w:sz w:val="18"/>
                <w:szCs w:val="18"/>
              </w:rPr>
            </w:pPr>
            <w:r w:rsidRPr="0077628D">
              <w:rPr>
                <w:rFonts w:ascii="Arial" w:hAnsi="Arial" w:cs="Arial"/>
                <w:i/>
                <w:iCs/>
                <w:color w:val="000000"/>
                <w:sz w:val="18"/>
                <w:szCs w:val="18"/>
              </w:rPr>
              <w:t>Производство побочной продукции</w:t>
            </w:r>
          </w:p>
        </w:tc>
      </w:tr>
      <w:tr w:rsidR="0077628D" w:rsidRPr="0077628D" w:rsidTr="0077628D">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 xml:space="preserve"> - ЧЛДШ</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1 907</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4 958</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-3 051</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-61,53%</w:t>
            </w:r>
          </w:p>
        </w:tc>
      </w:tr>
      <w:tr w:rsidR="0077628D" w:rsidRPr="0077628D" w:rsidTr="0077628D">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 xml:space="preserve"> - МОД</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0</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2 191</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-2 191</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-100,00%</w:t>
            </w:r>
          </w:p>
        </w:tc>
      </w:tr>
      <w:tr w:rsidR="0077628D" w:rsidRPr="0077628D" w:rsidTr="0077628D">
        <w:trPr>
          <w:trHeight w:val="495"/>
        </w:trPr>
        <w:tc>
          <w:tcPr>
            <w:tcW w:w="2684" w:type="dxa"/>
            <w:tcBorders>
              <w:top w:val="nil"/>
              <w:left w:val="single" w:sz="8" w:space="0" w:color="auto"/>
              <w:bottom w:val="single" w:sz="8" w:space="0" w:color="auto"/>
              <w:right w:val="single" w:sz="8" w:space="0" w:color="auto"/>
            </w:tcBorders>
            <w:shd w:val="clear" w:color="auto" w:fill="auto"/>
            <w:vAlign w:val="center"/>
            <w:hideMark/>
          </w:tcPr>
          <w:p w:rsidR="0077628D" w:rsidRPr="0077628D" w:rsidRDefault="0077628D" w:rsidP="0077628D">
            <w:pPr>
              <w:rPr>
                <w:rFonts w:ascii="Arial" w:hAnsi="Arial" w:cs="Arial"/>
                <w:color w:val="000000"/>
                <w:sz w:val="18"/>
                <w:szCs w:val="18"/>
              </w:rPr>
            </w:pPr>
            <w:r w:rsidRPr="0077628D">
              <w:rPr>
                <w:rFonts w:ascii="Arial" w:hAnsi="Arial" w:cs="Arial"/>
                <w:color w:val="000000"/>
                <w:sz w:val="18"/>
                <w:szCs w:val="18"/>
              </w:rPr>
              <w:t xml:space="preserve"> - щебень шлаковый</w:t>
            </w:r>
          </w:p>
        </w:tc>
        <w:tc>
          <w:tcPr>
            <w:tcW w:w="992"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тонн</w:t>
            </w:r>
          </w:p>
        </w:tc>
        <w:tc>
          <w:tcPr>
            <w:tcW w:w="1417"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sz w:val="18"/>
                <w:szCs w:val="18"/>
              </w:rPr>
            </w:pPr>
            <w:r w:rsidRPr="0077628D">
              <w:rPr>
                <w:rFonts w:ascii="Arial" w:hAnsi="Arial" w:cs="Arial"/>
                <w:sz w:val="18"/>
                <w:szCs w:val="18"/>
              </w:rPr>
              <w:t>137 695</w:t>
            </w:r>
          </w:p>
        </w:tc>
        <w:tc>
          <w:tcPr>
            <w:tcW w:w="1418"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color w:val="000000"/>
                <w:sz w:val="18"/>
                <w:szCs w:val="18"/>
              </w:rPr>
            </w:pPr>
            <w:r w:rsidRPr="0077628D">
              <w:rPr>
                <w:rFonts w:ascii="Arial" w:hAnsi="Arial" w:cs="Arial"/>
                <w:color w:val="000000"/>
                <w:sz w:val="18"/>
                <w:szCs w:val="18"/>
              </w:rPr>
              <w:t>116 826</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20 869</w:t>
            </w:r>
          </w:p>
        </w:tc>
        <w:tc>
          <w:tcPr>
            <w:tcW w:w="1701" w:type="dxa"/>
            <w:tcBorders>
              <w:top w:val="nil"/>
              <w:left w:val="nil"/>
              <w:bottom w:val="single" w:sz="8" w:space="0" w:color="auto"/>
              <w:right w:val="single" w:sz="8" w:space="0" w:color="auto"/>
            </w:tcBorders>
            <w:shd w:val="clear" w:color="auto" w:fill="auto"/>
            <w:noWrap/>
            <w:vAlign w:val="center"/>
            <w:hideMark/>
          </w:tcPr>
          <w:p w:rsidR="0077628D" w:rsidRPr="0077628D" w:rsidRDefault="0077628D" w:rsidP="0077628D">
            <w:pPr>
              <w:jc w:val="center"/>
              <w:rPr>
                <w:rFonts w:ascii="Arial" w:hAnsi="Arial" w:cs="Arial"/>
                <w:i/>
                <w:iCs/>
                <w:color w:val="000000"/>
                <w:sz w:val="18"/>
                <w:szCs w:val="18"/>
              </w:rPr>
            </w:pPr>
            <w:r w:rsidRPr="0077628D">
              <w:rPr>
                <w:rFonts w:ascii="Arial" w:hAnsi="Arial" w:cs="Arial"/>
                <w:i/>
                <w:iCs/>
                <w:color w:val="000000"/>
                <w:sz w:val="18"/>
                <w:szCs w:val="18"/>
              </w:rPr>
              <w:t>17,86%</w:t>
            </w:r>
          </w:p>
        </w:tc>
      </w:tr>
    </w:tbl>
    <w:p w:rsidR="003C1AD4" w:rsidRPr="004E2102" w:rsidRDefault="003C1AD4" w:rsidP="003C1AD4">
      <w:pPr>
        <w:spacing w:before="120" w:after="120"/>
        <w:ind w:firstLine="709"/>
        <w:jc w:val="both"/>
        <w:rPr>
          <w:rFonts w:ascii="Arial" w:hAnsi="Arial" w:cs="Arial"/>
          <w:szCs w:val="22"/>
        </w:rPr>
      </w:pPr>
      <w:r w:rsidRPr="004E2102">
        <w:rPr>
          <w:rFonts w:ascii="Arial" w:hAnsi="Arial" w:cs="Arial"/>
          <w:szCs w:val="22"/>
        </w:rPr>
        <w:t>Среднесуточное производство по печам в 20</w:t>
      </w:r>
      <w:r w:rsidR="001254B2">
        <w:rPr>
          <w:rFonts w:ascii="Arial" w:hAnsi="Arial" w:cs="Arial"/>
          <w:szCs w:val="22"/>
        </w:rPr>
        <w:t>2</w:t>
      </w:r>
      <w:r w:rsidR="00F5242E">
        <w:rPr>
          <w:rFonts w:ascii="Arial" w:hAnsi="Arial" w:cs="Arial"/>
          <w:szCs w:val="22"/>
        </w:rPr>
        <w:t>1</w:t>
      </w:r>
      <w:r w:rsidRPr="004E2102">
        <w:rPr>
          <w:rFonts w:ascii="Arial" w:hAnsi="Arial" w:cs="Arial"/>
          <w:szCs w:val="22"/>
        </w:rPr>
        <w:t xml:space="preserve"> году распределилось следующим образом:</w:t>
      </w:r>
    </w:p>
    <w:p w:rsidR="003C1AD4" w:rsidRPr="00E144A8" w:rsidRDefault="00CD42F8" w:rsidP="003C1AD4">
      <w:pPr>
        <w:spacing w:before="120" w:after="120"/>
        <w:ind w:firstLine="513"/>
        <w:jc w:val="center"/>
        <w:rPr>
          <w:rFonts w:ascii="Arial" w:hAnsi="Arial" w:cs="Arial"/>
          <w:i/>
          <w:szCs w:val="22"/>
        </w:rPr>
      </w:pPr>
      <w:r>
        <w:rPr>
          <w:rFonts w:ascii="Arial" w:hAnsi="Arial" w:cs="Arial"/>
          <w:i/>
          <w:szCs w:val="22"/>
        </w:rPr>
        <w:t xml:space="preserve">Таблица </w:t>
      </w:r>
      <w:r w:rsidR="006B7CE0">
        <w:rPr>
          <w:rFonts w:ascii="Arial" w:hAnsi="Arial" w:cs="Arial"/>
          <w:i/>
          <w:szCs w:val="22"/>
        </w:rPr>
        <w:t>6</w:t>
      </w:r>
      <w:r w:rsidR="003C1AD4" w:rsidRPr="004E2102">
        <w:rPr>
          <w:rFonts w:ascii="Arial" w:hAnsi="Arial" w:cs="Arial"/>
          <w:i/>
          <w:szCs w:val="22"/>
        </w:rPr>
        <w:t>. Среднесуточный объем производства по печам в 20</w:t>
      </w:r>
      <w:r w:rsidR="001254B2">
        <w:rPr>
          <w:rFonts w:ascii="Arial" w:hAnsi="Arial" w:cs="Arial"/>
          <w:i/>
          <w:szCs w:val="22"/>
        </w:rPr>
        <w:t>2</w:t>
      </w:r>
      <w:r w:rsidR="00F5242E">
        <w:rPr>
          <w:rFonts w:ascii="Arial" w:hAnsi="Arial" w:cs="Arial"/>
          <w:i/>
          <w:szCs w:val="22"/>
        </w:rPr>
        <w:t>1</w:t>
      </w:r>
      <w:r w:rsidR="003C1AD4" w:rsidRPr="004E2102">
        <w:rPr>
          <w:rFonts w:ascii="Arial" w:hAnsi="Arial" w:cs="Arial"/>
          <w:i/>
          <w:szCs w:val="22"/>
        </w:rPr>
        <w:t xml:space="preserve"> году</w:t>
      </w:r>
      <w:r w:rsidR="00E97ED7" w:rsidRPr="004E2102">
        <w:rPr>
          <w:rFonts w:ascii="Arial" w:hAnsi="Arial" w:cs="Arial"/>
          <w:i/>
          <w:szCs w:val="22"/>
        </w:rPr>
        <w:t xml:space="preserve"> (в период работы печей)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694"/>
      </w:tblGrid>
      <w:tr w:rsidR="003C1AD4" w:rsidRPr="00044C17" w:rsidTr="006C6345">
        <w:trPr>
          <w:trHeight w:val="567"/>
          <w:jc w:val="center"/>
        </w:trPr>
        <w:tc>
          <w:tcPr>
            <w:tcW w:w="323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ind w:left="-108"/>
              <w:jc w:val="center"/>
              <w:rPr>
                <w:rFonts w:ascii="Arial" w:hAnsi="Arial" w:cs="Arial"/>
                <w:b/>
                <w:sz w:val="20"/>
              </w:rPr>
            </w:pPr>
            <w:r w:rsidRPr="00E144A8">
              <w:rPr>
                <w:rFonts w:ascii="Arial" w:hAnsi="Arial" w:cs="Arial"/>
                <w:b/>
                <w:sz w:val="20"/>
                <w:szCs w:val="22"/>
              </w:rPr>
              <w:t>Доменная печь</w:t>
            </w:r>
          </w:p>
        </w:tc>
        <w:tc>
          <w:tcPr>
            <w:tcW w:w="26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Среднесуточный</w:t>
            </w:r>
          </w:p>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объем, т/сутки</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№2</w:t>
            </w:r>
            <w:r w:rsidR="00F015B3" w:rsidRPr="00A0678F">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F5242E" w:rsidP="001254B2">
            <w:pPr>
              <w:spacing w:before="120" w:after="120"/>
              <w:jc w:val="center"/>
              <w:rPr>
                <w:rFonts w:ascii="Arial" w:hAnsi="Arial" w:cs="Arial"/>
                <w:sz w:val="20"/>
              </w:rPr>
            </w:pPr>
            <w:r>
              <w:rPr>
                <w:rFonts w:ascii="Arial" w:hAnsi="Arial" w:cs="Arial"/>
                <w:sz w:val="20"/>
                <w:szCs w:val="22"/>
              </w:rPr>
              <w:t>191</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№3</w:t>
            </w:r>
            <w:r w:rsidR="00F015B3" w:rsidRPr="00A0678F">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F5242E" w:rsidP="001254B2">
            <w:pPr>
              <w:spacing w:before="120" w:after="120"/>
              <w:jc w:val="center"/>
              <w:rPr>
                <w:rFonts w:ascii="Arial" w:hAnsi="Arial" w:cs="Arial"/>
                <w:sz w:val="20"/>
              </w:rPr>
            </w:pPr>
            <w:r>
              <w:rPr>
                <w:rFonts w:ascii="Arial" w:hAnsi="Arial" w:cs="Arial"/>
                <w:sz w:val="20"/>
              </w:rPr>
              <w:t>912</w:t>
            </w:r>
          </w:p>
        </w:tc>
      </w:tr>
      <w:tr w:rsidR="00F015B3" w:rsidRPr="00A0678F"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F015B3" w:rsidRPr="00A0678F" w:rsidRDefault="00F015B3" w:rsidP="00F015B3">
            <w:pPr>
              <w:spacing w:before="120" w:after="120"/>
              <w:ind w:left="-108"/>
              <w:rPr>
                <w:rFonts w:ascii="Arial" w:hAnsi="Arial" w:cs="Arial"/>
                <w:sz w:val="20"/>
              </w:rPr>
            </w:pPr>
            <w:r w:rsidRPr="00A0678F">
              <w:rPr>
                <w:rFonts w:ascii="Arial" w:hAnsi="Arial" w:cs="Arial"/>
                <w:sz w:val="20"/>
                <w:szCs w:val="22"/>
              </w:rPr>
              <w:t>ДП №3 (ферромарганец)</w:t>
            </w:r>
          </w:p>
        </w:tc>
        <w:tc>
          <w:tcPr>
            <w:tcW w:w="2694" w:type="dxa"/>
            <w:tcBorders>
              <w:top w:val="single" w:sz="4" w:space="0" w:color="auto"/>
              <w:left w:val="single" w:sz="4" w:space="0" w:color="auto"/>
              <w:bottom w:val="single" w:sz="4" w:space="0" w:color="auto"/>
              <w:right w:val="single" w:sz="4" w:space="0" w:color="auto"/>
            </w:tcBorders>
          </w:tcPr>
          <w:p w:rsidR="00F015B3" w:rsidRPr="000C1860" w:rsidRDefault="00F5242E" w:rsidP="001254B2">
            <w:pPr>
              <w:spacing w:before="120" w:after="120"/>
              <w:jc w:val="center"/>
              <w:rPr>
                <w:rFonts w:ascii="Arial" w:hAnsi="Arial" w:cs="Arial"/>
                <w:sz w:val="20"/>
              </w:rPr>
            </w:pPr>
            <w:r>
              <w:rPr>
                <w:rFonts w:ascii="Arial" w:hAnsi="Arial" w:cs="Arial"/>
                <w:sz w:val="20"/>
                <w:szCs w:val="22"/>
              </w:rPr>
              <w:t>264</w:t>
            </w:r>
            <w:r w:rsidR="001254B2">
              <w:rPr>
                <w:rFonts w:ascii="Arial" w:hAnsi="Arial" w:cs="Arial"/>
                <w:sz w:val="20"/>
                <w:szCs w:val="22"/>
              </w:rPr>
              <w:t>-</w:t>
            </w:r>
          </w:p>
        </w:tc>
      </w:tr>
    </w:tbl>
    <w:p w:rsidR="003C1AD4" w:rsidRPr="00A0678F" w:rsidRDefault="003C1AD4" w:rsidP="00530215">
      <w:pPr>
        <w:pStyle w:val="2"/>
        <w:spacing w:before="120" w:after="120"/>
        <w:rPr>
          <w:rFonts w:ascii="Arial" w:hAnsi="Arial" w:cs="Arial"/>
          <w:i/>
          <w:color w:val="auto"/>
          <w:sz w:val="28"/>
        </w:rPr>
      </w:pPr>
    </w:p>
    <w:p w:rsidR="00607D5C" w:rsidRPr="00044C17" w:rsidRDefault="00607D5C" w:rsidP="00607D5C">
      <w:pPr>
        <w:rPr>
          <w:highlight w:val="yellow"/>
        </w:rPr>
      </w:pPr>
    </w:p>
    <w:p w:rsidR="00FE37C0" w:rsidRPr="00C35538" w:rsidRDefault="00FE37C0" w:rsidP="00530215">
      <w:pPr>
        <w:pStyle w:val="2"/>
        <w:spacing w:before="120" w:after="120"/>
        <w:rPr>
          <w:rFonts w:ascii="Arial" w:hAnsi="Arial" w:cs="Arial"/>
          <w:i/>
          <w:color w:val="auto"/>
          <w:sz w:val="28"/>
        </w:rPr>
      </w:pPr>
      <w:bookmarkStart w:id="23" w:name="_Toc100678743"/>
      <w:r w:rsidRPr="00664BBE">
        <w:rPr>
          <w:rFonts w:ascii="Arial" w:hAnsi="Arial" w:cs="Arial"/>
          <w:i/>
          <w:color w:val="auto"/>
          <w:sz w:val="28"/>
        </w:rPr>
        <w:t>Продажи</w:t>
      </w:r>
      <w:bookmarkEnd w:id="22"/>
      <w:bookmarkEnd w:id="23"/>
    </w:p>
    <w:p w:rsidR="00573C47" w:rsidRDefault="00C35538" w:rsidP="00C92CF6">
      <w:pPr>
        <w:spacing w:before="120" w:after="120"/>
        <w:ind w:firstLine="567"/>
        <w:jc w:val="both"/>
        <w:rPr>
          <w:rFonts w:ascii="Arial" w:hAnsi="Arial" w:cs="Arial"/>
          <w:szCs w:val="22"/>
        </w:rPr>
      </w:pPr>
      <w:bookmarkStart w:id="24" w:name="_Toc415487675"/>
      <w:r w:rsidRPr="00F464A9">
        <w:rPr>
          <w:rFonts w:ascii="Arial" w:hAnsi="Arial" w:cs="Arial"/>
          <w:bCs/>
          <w:szCs w:val="22"/>
        </w:rPr>
        <w:t>Объём продаж товарного чугуна ПАО «КМЗ»</w:t>
      </w:r>
      <w:r w:rsidRPr="00F464A9">
        <w:rPr>
          <w:rFonts w:ascii="Arial" w:hAnsi="Arial" w:cs="Arial"/>
          <w:szCs w:val="22"/>
        </w:rPr>
        <w:t xml:space="preserve"> в 20</w:t>
      </w:r>
      <w:r w:rsidR="002C3CC0">
        <w:rPr>
          <w:rFonts w:ascii="Arial" w:hAnsi="Arial" w:cs="Arial"/>
          <w:szCs w:val="22"/>
        </w:rPr>
        <w:t>2</w:t>
      </w:r>
      <w:r w:rsidR="00C92CF6">
        <w:rPr>
          <w:rFonts w:ascii="Arial" w:hAnsi="Arial" w:cs="Arial"/>
          <w:szCs w:val="22"/>
        </w:rPr>
        <w:t>1</w:t>
      </w:r>
      <w:r w:rsidRPr="00F464A9">
        <w:rPr>
          <w:rFonts w:ascii="Arial" w:hAnsi="Arial" w:cs="Arial"/>
          <w:szCs w:val="22"/>
        </w:rPr>
        <w:t xml:space="preserve"> году составил </w:t>
      </w:r>
      <w:r w:rsidR="00C92CF6">
        <w:rPr>
          <w:rFonts w:ascii="Arial" w:hAnsi="Arial" w:cs="Arial"/>
          <w:szCs w:val="22"/>
        </w:rPr>
        <w:t>100</w:t>
      </w:r>
      <w:r w:rsidRPr="00F464A9">
        <w:rPr>
          <w:rFonts w:ascii="Arial" w:hAnsi="Arial" w:cs="Arial"/>
          <w:szCs w:val="22"/>
        </w:rPr>
        <w:t xml:space="preserve"> </w:t>
      </w:r>
      <w:r w:rsidR="00C92CF6">
        <w:rPr>
          <w:rFonts w:ascii="Arial" w:hAnsi="Arial" w:cs="Arial"/>
          <w:szCs w:val="22"/>
        </w:rPr>
        <w:t>786</w:t>
      </w:r>
      <w:r w:rsidRPr="00F464A9">
        <w:rPr>
          <w:rFonts w:ascii="Arial" w:hAnsi="Arial" w:cs="Arial"/>
          <w:szCs w:val="22"/>
        </w:rPr>
        <w:t xml:space="preserve"> т, что на </w:t>
      </w:r>
      <w:r w:rsidR="00C92CF6">
        <w:rPr>
          <w:rFonts w:ascii="Arial" w:hAnsi="Arial" w:cs="Arial"/>
          <w:szCs w:val="22"/>
        </w:rPr>
        <w:t>230</w:t>
      </w:r>
      <w:r w:rsidRPr="00F464A9">
        <w:rPr>
          <w:rFonts w:ascii="Arial" w:hAnsi="Arial" w:cs="Arial"/>
          <w:szCs w:val="22"/>
        </w:rPr>
        <w:t xml:space="preserve"> </w:t>
      </w:r>
      <w:r w:rsidR="00C92CF6">
        <w:rPr>
          <w:rFonts w:ascii="Arial" w:hAnsi="Arial" w:cs="Arial"/>
          <w:szCs w:val="22"/>
        </w:rPr>
        <w:t>720</w:t>
      </w:r>
      <w:r w:rsidRPr="00F464A9">
        <w:rPr>
          <w:rFonts w:ascii="Arial" w:hAnsi="Arial" w:cs="Arial"/>
          <w:szCs w:val="22"/>
        </w:rPr>
        <w:t xml:space="preserve"> т (</w:t>
      </w:r>
      <w:r w:rsidR="00C92CF6">
        <w:rPr>
          <w:rFonts w:ascii="Arial" w:hAnsi="Arial" w:cs="Arial"/>
          <w:szCs w:val="22"/>
        </w:rPr>
        <w:t>81</w:t>
      </w:r>
      <w:r w:rsidRPr="00F464A9">
        <w:rPr>
          <w:rFonts w:ascii="Arial" w:hAnsi="Arial" w:cs="Arial"/>
          <w:szCs w:val="22"/>
        </w:rPr>
        <w:t>,</w:t>
      </w:r>
      <w:r w:rsidR="00C92CF6">
        <w:rPr>
          <w:rFonts w:ascii="Arial" w:hAnsi="Arial" w:cs="Arial"/>
          <w:szCs w:val="22"/>
        </w:rPr>
        <w:t>9</w:t>
      </w:r>
      <w:r w:rsidRPr="00F464A9">
        <w:rPr>
          <w:rFonts w:ascii="Arial" w:hAnsi="Arial" w:cs="Arial"/>
          <w:szCs w:val="22"/>
        </w:rPr>
        <w:t xml:space="preserve">%) </w:t>
      </w:r>
      <w:r w:rsidR="00C92CF6">
        <w:rPr>
          <w:rFonts w:ascii="Arial" w:hAnsi="Arial" w:cs="Arial"/>
          <w:szCs w:val="22"/>
        </w:rPr>
        <w:t>меньше</w:t>
      </w:r>
      <w:r w:rsidRPr="00F464A9">
        <w:rPr>
          <w:rFonts w:ascii="Arial" w:hAnsi="Arial" w:cs="Arial"/>
          <w:szCs w:val="22"/>
        </w:rPr>
        <w:t>, чем в 20</w:t>
      </w:r>
      <w:r w:rsidR="00C92CF6">
        <w:rPr>
          <w:rFonts w:ascii="Arial" w:hAnsi="Arial" w:cs="Arial"/>
          <w:szCs w:val="22"/>
        </w:rPr>
        <w:t>20</w:t>
      </w:r>
      <w:r w:rsidRPr="00F464A9">
        <w:rPr>
          <w:rFonts w:ascii="Arial" w:hAnsi="Arial" w:cs="Arial"/>
          <w:szCs w:val="22"/>
        </w:rPr>
        <w:t xml:space="preserve"> году</w:t>
      </w:r>
      <w:r w:rsidR="002811A3">
        <w:rPr>
          <w:rFonts w:ascii="Arial" w:hAnsi="Arial" w:cs="Arial"/>
          <w:szCs w:val="22"/>
        </w:rPr>
        <w:t xml:space="preserve">. Снижение объема продаж чугуна </w:t>
      </w:r>
      <w:r w:rsidR="0052168A">
        <w:rPr>
          <w:rFonts w:ascii="Arial" w:hAnsi="Arial" w:cs="Arial"/>
          <w:szCs w:val="22"/>
        </w:rPr>
        <w:t xml:space="preserve">связано с переходом на давальческую переработку окатышей. </w:t>
      </w:r>
      <w:r w:rsidR="00A8682A">
        <w:rPr>
          <w:rFonts w:ascii="Arial" w:hAnsi="Arial" w:cs="Arial"/>
          <w:szCs w:val="22"/>
        </w:rPr>
        <w:t>Общий объем отгруз</w:t>
      </w:r>
      <w:r w:rsidR="00DD19AC">
        <w:rPr>
          <w:rFonts w:ascii="Arial" w:hAnsi="Arial" w:cs="Arial"/>
          <w:szCs w:val="22"/>
        </w:rPr>
        <w:t>ок</w:t>
      </w:r>
      <w:r w:rsidR="00A8682A">
        <w:rPr>
          <w:rFonts w:ascii="Arial" w:hAnsi="Arial" w:cs="Arial"/>
          <w:szCs w:val="22"/>
        </w:rPr>
        <w:t xml:space="preserve"> чугуна ПАО «КМЗ» в 2021 году составил 235,3</w:t>
      </w:r>
      <w:r w:rsidR="002811A3">
        <w:rPr>
          <w:rFonts w:ascii="Arial" w:hAnsi="Arial" w:cs="Arial"/>
          <w:szCs w:val="22"/>
        </w:rPr>
        <w:t xml:space="preserve"> тыс.</w:t>
      </w:r>
      <w:r w:rsidR="00573C47">
        <w:rPr>
          <w:rFonts w:ascii="Arial" w:hAnsi="Arial" w:cs="Arial"/>
          <w:szCs w:val="22"/>
        </w:rPr>
        <w:t xml:space="preserve"> </w:t>
      </w:r>
      <w:r w:rsidR="002811A3">
        <w:rPr>
          <w:rFonts w:ascii="Arial" w:hAnsi="Arial" w:cs="Arial"/>
          <w:szCs w:val="22"/>
        </w:rPr>
        <w:t xml:space="preserve">тонн. </w:t>
      </w:r>
    </w:p>
    <w:p w:rsidR="00C35538" w:rsidRPr="00F464A9" w:rsidRDefault="00C35538" w:rsidP="00C92CF6">
      <w:pPr>
        <w:spacing w:before="120" w:after="120"/>
        <w:ind w:firstLine="567"/>
        <w:jc w:val="both"/>
        <w:rPr>
          <w:rFonts w:ascii="Arial" w:hAnsi="Arial" w:cs="Arial"/>
          <w:szCs w:val="22"/>
        </w:rPr>
      </w:pPr>
      <w:r w:rsidRPr="00F464A9">
        <w:rPr>
          <w:rFonts w:ascii="Arial" w:hAnsi="Arial" w:cs="Arial"/>
          <w:bCs/>
          <w:szCs w:val="22"/>
        </w:rPr>
        <w:t>Объём продаж ферромарганца</w:t>
      </w:r>
      <w:r w:rsidR="00C92CF6">
        <w:rPr>
          <w:rFonts w:ascii="Arial" w:hAnsi="Arial" w:cs="Arial"/>
          <w:bCs/>
          <w:szCs w:val="22"/>
        </w:rPr>
        <w:t xml:space="preserve">  </w:t>
      </w:r>
      <w:r w:rsidRPr="00F464A9">
        <w:rPr>
          <w:rFonts w:ascii="Arial" w:hAnsi="Arial" w:cs="Arial"/>
          <w:szCs w:val="22"/>
        </w:rPr>
        <w:t xml:space="preserve"> </w:t>
      </w:r>
      <w:r w:rsidR="002811A3" w:rsidRPr="00F464A9">
        <w:rPr>
          <w:rFonts w:ascii="Arial" w:hAnsi="Arial" w:cs="Arial"/>
          <w:szCs w:val="22"/>
        </w:rPr>
        <w:t xml:space="preserve">составил </w:t>
      </w:r>
      <w:r w:rsidR="002811A3">
        <w:rPr>
          <w:rFonts w:ascii="Arial" w:hAnsi="Arial" w:cs="Arial"/>
          <w:szCs w:val="22"/>
        </w:rPr>
        <w:t>66</w:t>
      </w:r>
      <w:r w:rsidRPr="00F464A9">
        <w:rPr>
          <w:rFonts w:ascii="Arial" w:hAnsi="Arial" w:cs="Arial"/>
          <w:szCs w:val="22"/>
        </w:rPr>
        <w:t xml:space="preserve"> </w:t>
      </w:r>
      <w:r w:rsidR="00C92CF6">
        <w:rPr>
          <w:rFonts w:ascii="Arial" w:hAnsi="Arial" w:cs="Arial"/>
          <w:szCs w:val="22"/>
        </w:rPr>
        <w:t>503</w:t>
      </w:r>
      <w:r w:rsidRPr="00F464A9">
        <w:rPr>
          <w:rFonts w:ascii="Arial" w:hAnsi="Arial" w:cs="Arial"/>
          <w:szCs w:val="22"/>
        </w:rPr>
        <w:t xml:space="preserve"> т, что на </w:t>
      </w:r>
      <w:r w:rsidR="00C92CF6">
        <w:rPr>
          <w:rFonts w:ascii="Arial" w:hAnsi="Arial" w:cs="Arial"/>
          <w:szCs w:val="22"/>
        </w:rPr>
        <w:t>4</w:t>
      </w:r>
      <w:r w:rsidR="0022323C" w:rsidRPr="00F464A9">
        <w:rPr>
          <w:rFonts w:ascii="Arial" w:hAnsi="Arial" w:cs="Arial"/>
          <w:szCs w:val="22"/>
        </w:rPr>
        <w:t xml:space="preserve"> </w:t>
      </w:r>
      <w:r w:rsidR="00C92CF6">
        <w:rPr>
          <w:rFonts w:ascii="Arial" w:hAnsi="Arial" w:cs="Arial"/>
          <w:szCs w:val="22"/>
        </w:rPr>
        <w:t>934</w:t>
      </w:r>
      <w:r w:rsidR="0022323C" w:rsidRPr="00F464A9">
        <w:rPr>
          <w:rFonts w:ascii="Arial" w:hAnsi="Arial" w:cs="Arial"/>
          <w:szCs w:val="22"/>
        </w:rPr>
        <w:t xml:space="preserve"> т (</w:t>
      </w:r>
      <w:r w:rsidR="00C92CF6">
        <w:rPr>
          <w:rFonts w:ascii="Arial" w:hAnsi="Arial" w:cs="Arial"/>
          <w:szCs w:val="22"/>
        </w:rPr>
        <w:t>8</w:t>
      </w:r>
      <w:r w:rsidR="0022323C" w:rsidRPr="00F464A9">
        <w:rPr>
          <w:rFonts w:ascii="Arial" w:hAnsi="Arial" w:cs="Arial"/>
          <w:szCs w:val="22"/>
        </w:rPr>
        <w:t>%)</w:t>
      </w:r>
      <w:r w:rsidR="002C3CC0">
        <w:rPr>
          <w:rFonts w:ascii="Arial" w:hAnsi="Arial" w:cs="Arial"/>
          <w:szCs w:val="22"/>
        </w:rPr>
        <w:t xml:space="preserve"> </w:t>
      </w:r>
      <w:r w:rsidR="00C92CF6">
        <w:rPr>
          <w:rFonts w:ascii="Arial" w:hAnsi="Arial" w:cs="Arial"/>
          <w:szCs w:val="22"/>
        </w:rPr>
        <w:t>больше</w:t>
      </w:r>
      <w:r w:rsidRPr="00F464A9">
        <w:rPr>
          <w:rFonts w:ascii="Arial" w:hAnsi="Arial" w:cs="Arial"/>
          <w:szCs w:val="22"/>
        </w:rPr>
        <w:t xml:space="preserve"> показателя 20</w:t>
      </w:r>
      <w:r w:rsidR="00C92CF6">
        <w:rPr>
          <w:rFonts w:ascii="Arial" w:hAnsi="Arial" w:cs="Arial"/>
          <w:szCs w:val="22"/>
        </w:rPr>
        <w:t>20</w:t>
      </w:r>
      <w:r w:rsidRPr="00F464A9">
        <w:rPr>
          <w:rFonts w:ascii="Arial" w:hAnsi="Arial" w:cs="Arial"/>
          <w:szCs w:val="22"/>
        </w:rPr>
        <w:t xml:space="preserve"> года.</w:t>
      </w:r>
    </w:p>
    <w:p w:rsidR="00CD1711" w:rsidRPr="00F464A9" w:rsidRDefault="00CD1711" w:rsidP="00CD1711">
      <w:pPr>
        <w:spacing w:before="120" w:after="120"/>
        <w:ind w:firstLine="709"/>
        <w:jc w:val="center"/>
        <w:rPr>
          <w:rFonts w:ascii="Arial" w:hAnsi="Arial" w:cs="Arial"/>
          <w:bCs/>
          <w:i/>
          <w:szCs w:val="22"/>
        </w:rPr>
      </w:pPr>
      <w:r w:rsidRPr="00F464A9">
        <w:rPr>
          <w:rFonts w:ascii="Arial" w:hAnsi="Arial" w:cs="Arial"/>
          <w:bCs/>
          <w:i/>
          <w:szCs w:val="22"/>
        </w:rPr>
        <w:t xml:space="preserve">Таблица </w:t>
      </w:r>
      <w:r w:rsidR="006B7CE0">
        <w:rPr>
          <w:rFonts w:ascii="Arial" w:hAnsi="Arial" w:cs="Arial"/>
          <w:bCs/>
          <w:i/>
          <w:szCs w:val="22"/>
        </w:rPr>
        <w:t>7</w:t>
      </w:r>
      <w:r w:rsidRPr="00F464A9">
        <w:rPr>
          <w:rFonts w:ascii="Arial" w:hAnsi="Arial" w:cs="Arial"/>
          <w:bCs/>
          <w:i/>
          <w:szCs w:val="22"/>
        </w:rPr>
        <w:t>. Динамика объемов продаж товарной продукции ПАО «КМЗ»</w:t>
      </w:r>
    </w:p>
    <w:tbl>
      <w:tblPr>
        <w:tblW w:w="10773"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18"/>
        <w:gridCol w:w="1290"/>
        <w:gridCol w:w="1302"/>
        <w:gridCol w:w="1290"/>
        <w:gridCol w:w="1302"/>
        <w:gridCol w:w="1257"/>
        <w:gridCol w:w="1257"/>
        <w:gridCol w:w="1257"/>
      </w:tblGrid>
      <w:tr w:rsidR="00C92CF6" w:rsidRPr="00F464A9" w:rsidTr="00C92CF6">
        <w:trPr>
          <w:trHeight w:val="525"/>
          <w:jc w:val="center"/>
        </w:trPr>
        <w:tc>
          <w:tcPr>
            <w:tcW w:w="1818" w:type="dxa"/>
            <w:shd w:val="clear" w:color="auto" w:fill="C6D9F1" w:themeFill="text2" w:themeFillTint="33"/>
            <w:vAlign w:val="center"/>
            <w:hideMark/>
          </w:tcPr>
          <w:p w:rsidR="00C92CF6" w:rsidRPr="00F464A9" w:rsidRDefault="00C92CF6" w:rsidP="006C6345">
            <w:pPr>
              <w:spacing w:before="120" w:after="120"/>
              <w:jc w:val="center"/>
              <w:rPr>
                <w:rFonts w:ascii="Arial" w:hAnsi="Arial" w:cs="Arial"/>
                <w:b/>
                <w:bCs/>
                <w:sz w:val="20"/>
                <w:szCs w:val="20"/>
              </w:rPr>
            </w:pPr>
            <w:r w:rsidRPr="00F464A9">
              <w:rPr>
                <w:rFonts w:ascii="Arial" w:hAnsi="Arial" w:cs="Arial"/>
                <w:b/>
                <w:bCs/>
                <w:sz w:val="20"/>
                <w:szCs w:val="20"/>
              </w:rPr>
              <w:t>Показатели</w:t>
            </w:r>
          </w:p>
        </w:tc>
        <w:tc>
          <w:tcPr>
            <w:tcW w:w="1290" w:type="dxa"/>
            <w:shd w:val="clear" w:color="auto" w:fill="C6D9F1" w:themeFill="text2" w:themeFillTint="33"/>
            <w:vAlign w:val="center"/>
          </w:tcPr>
          <w:p w:rsidR="00C92CF6" w:rsidRPr="00F464A9" w:rsidRDefault="00C92CF6" w:rsidP="00434ED6">
            <w:pPr>
              <w:spacing w:before="120" w:after="120"/>
              <w:jc w:val="center"/>
              <w:rPr>
                <w:rFonts w:ascii="Arial" w:hAnsi="Arial" w:cs="Arial"/>
                <w:b/>
                <w:bCs/>
                <w:sz w:val="20"/>
                <w:szCs w:val="20"/>
              </w:rPr>
            </w:pPr>
            <w:r w:rsidRPr="00F464A9">
              <w:rPr>
                <w:rFonts w:ascii="Arial" w:hAnsi="Arial" w:cs="Arial"/>
                <w:b/>
                <w:bCs/>
                <w:sz w:val="20"/>
                <w:szCs w:val="20"/>
              </w:rPr>
              <w:t>2015 г.</w:t>
            </w:r>
          </w:p>
        </w:tc>
        <w:tc>
          <w:tcPr>
            <w:tcW w:w="1302" w:type="dxa"/>
            <w:shd w:val="clear" w:color="auto" w:fill="C6D9F1" w:themeFill="text2" w:themeFillTint="33"/>
            <w:vAlign w:val="center"/>
          </w:tcPr>
          <w:p w:rsidR="00C92CF6" w:rsidRPr="00F464A9" w:rsidRDefault="00C92CF6" w:rsidP="00434ED6">
            <w:pPr>
              <w:spacing w:before="120" w:after="120"/>
              <w:jc w:val="center"/>
              <w:rPr>
                <w:rFonts w:ascii="Arial" w:hAnsi="Arial" w:cs="Arial"/>
                <w:b/>
                <w:bCs/>
                <w:sz w:val="20"/>
                <w:szCs w:val="20"/>
              </w:rPr>
            </w:pPr>
            <w:r w:rsidRPr="00F464A9">
              <w:rPr>
                <w:rFonts w:ascii="Arial" w:hAnsi="Arial" w:cs="Arial"/>
                <w:b/>
                <w:bCs/>
                <w:sz w:val="20"/>
                <w:szCs w:val="20"/>
              </w:rPr>
              <w:t>2016 г.</w:t>
            </w:r>
          </w:p>
        </w:tc>
        <w:tc>
          <w:tcPr>
            <w:tcW w:w="1290" w:type="dxa"/>
            <w:shd w:val="clear" w:color="auto" w:fill="C6D9F1" w:themeFill="text2" w:themeFillTint="33"/>
            <w:vAlign w:val="center"/>
          </w:tcPr>
          <w:p w:rsidR="00C92CF6" w:rsidRPr="00F464A9" w:rsidRDefault="00C92CF6" w:rsidP="00434ED6">
            <w:pPr>
              <w:spacing w:before="120" w:after="120"/>
              <w:jc w:val="center"/>
              <w:rPr>
                <w:rFonts w:ascii="Arial" w:hAnsi="Arial" w:cs="Arial"/>
                <w:b/>
                <w:bCs/>
                <w:sz w:val="20"/>
                <w:szCs w:val="20"/>
              </w:rPr>
            </w:pPr>
            <w:r w:rsidRPr="00F464A9">
              <w:rPr>
                <w:rFonts w:ascii="Arial" w:hAnsi="Arial" w:cs="Arial"/>
                <w:b/>
                <w:bCs/>
                <w:sz w:val="20"/>
                <w:szCs w:val="20"/>
              </w:rPr>
              <w:t>2017 г.</w:t>
            </w:r>
          </w:p>
        </w:tc>
        <w:tc>
          <w:tcPr>
            <w:tcW w:w="1302" w:type="dxa"/>
            <w:shd w:val="clear" w:color="auto" w:fill="C6D9F1" w:themeFill="text2" w:themeFillTint="33"/>
            <w:vAlign w:val="center"/>
          </w:tcPr>
          <w:p w:rsidR="00C92CF6" w:rsidRPr="00F464A9" w:rsidRDefault="00C92CF6" w:rsidP="00434ED6">
            <w:pPr>
              <w:spacing w:before="120" w:after="120"/>
              <w:jc w:val="center"/>
              <w:rPr>
                <w:rFonts w:ascii="Arial" w:hAnsi="Arial" w:cs="Arial"/>
                <w:b/>
                <w:bCs/>
                <w:sz w:val="20"/>
                <w:szCs w:val="20"/>
              </w:rPr>
            </w:pPr>
            <w:r w:rsidRPr="00F464A9">
              <w:rPr>
                <w:rFonts w:ascii="Arial" w:hAnsi="Arial" w:cs="Arial"/>
                <w:b/>
                <w:bCs/>
                <w:sz w:val="20"/>
                <w:szCs w:val="20"/>
              </w:rPr>
              <w:t>2018 г.</w:t>
            </w:r>
          </w:p>
        </w:tc>
        <w:tc>
          <w:tcPr>
            <w:tcW w:w="1257" w:type="dxa"/>
            <w:shd w:val="clear" w:color="auto" w:fill="C6D9F1" w:themeFill="text2" w:themeFillTint="33"/>
          </w:tcPr>
          <w:p w:rsidR="00C92CF6" w:rsidRPr="00F464A9" w:rsidRDefault="00C92CF6" w:rsidP="00434ED6">
            <w:pPr>
              <w:spacing w:before="120" w:after="120"/>
              <w:jc w:val="center"/>
              <w:rPr>
                <w:rFonts w:ascii="Arial" w:hAnsi="Arial" w:cs="Arial"/>
                <w:b/>
                <w:bCs/>
                <w:sz w:val="20"/>
                <w:szCs w:val="20"/>
              </w:rPr>
            </w:pPr>
            <w:r w:rsidRPr="00F464A9">
              <w:rPr>
                <w:rFonts w:ascii="Arial" w:hAnsi="Arial" w:cs="Arial"/>
                <w:b/>
                <w:bCs/>
                <w:sz w:val="20"/>
                <w:szCs w:val="20"/>
              </w:rPr>
              <w:t>2019 г.</w:t>
            </w:r>
          </w:p>
        </w:tc>
        <w:tc>
          <w:tcPr>
            <w:tcW w:w="1257" w:type="dxa"/>
            <w:shd w:val="clear" w:color="auto" w:fill="C6D9F1" w:themeFill="text2" w:themeFillTint="33"/>
          </w:tcPr>
          <w:p w:rsidR="00C92CF6" w:rsidRPr="00F464A9" w:rsidRDefault="00C92CF6" w:rsidP="00434ED6">
            <w:pPr>
              <w:spacing w:before="120" w:after="120"/>
              <w:jc w:val="center"/>
              <w:rPr>
                <w:rFonts w:ascii="Arial" w:hAnsi="Arial" w:cs="Arial"/>
                <w:b/>
                <w:bCs/>
                <w:sz w:val="20"/>
                <w:szCs w:val="20"/>
              </w:rPr>
            </w:pPr>
            <w:r>
              <w:rPr>
                <w:rFonts w:ascii="Arial" w:hAnsi="Arial" w:cs="Arial"/>
                <w:b/>
                <w:bCs/>
                <w:sz w:val="20"/>
                <w:szCs w:val="20"/>
              </w:rPr>
              <w:t>2020 г.</w:t>
            </w:r>
          </w:p>
        </w:tc>
        <w:tc>
          <w:tcPr>
            <w:tcW w:w="1257" w:type="dxa"/>
            <w:shd w:val="clear" w:color="auto" w:fill="C6D9F1" w:themeFill="text2" w:themeFillTint="33"/>
          </w:tcPr>
          <w:p w:rsidR="00C92CF6" w:rsidRDefault="00C92CF6" w:rsidP="00434ED6">
            <w:pPr>
              <w:spacing w:before="120" w:after="120"/>
              <w:jc w:val="center"/>
              <w:rPr>
                <w:rFonts w:ascii="Arial" w:hAnsi="Arial" w:cs="Arial"/>
                <w:b/>
                <w:bCs/>
                <w:sz w:val="20"/>
                <w:szCs w:val="20"/>
              </w:rPr>
            </w:pPr>
            <w:r>
              <w:rPr>
                <w:rFonts w:ascii="Arial" w:hAnsi="Arial" w:cs="Arial"/>
                <w:b/>
                <w:bCs/>
                <w:sz w:val="20"/>
                <w:szCs w:val="20"/>
              </w:rPr>
              <w:t>2021 г.</w:t>
            </w:r>
          </w:p>
        </w:tc>
      </w:tr>
      <w:tr w:rsidR="00C92CF6" w:rsidRPr="00F464A9" w:rsidTr="00C92CF6">
        <w:trPr>
          <w:trHeight w:val="525"/>
          <w:jc w:val="center"/>
        </w:trPr>
        <w:tc>
          <w:tcPr>
            <w:tcW w:w="1818" w:type="dxa"/>
            <w:vAlign w:val="center"/>
            <w:hideMark/>
          </w:tcPr>
          <w:p w:rsidR="00C92CF6" w:rsidRPr="00F464A9" w:rsidRDefault="00C92CF6" w:rsidP="0022323C">
            <w:pPr>
              <w:spacing w:before="120" w:after="120"/>
              <w:jc w:val="center"/>
              <w:rPr>
                <w:rFonts w:ascii="Arial" w:hAnsi="Arial" w:cs="Arial"/>
                <w:b/>
                <w:bCs/>
                <w:sz w:val="20"/>
                <w:szCs w:val="20"/>
              </w:rPr>
            </w:pPr>
            <w:r w:rsidRPr="00F464A9">
              <w:rPr>
                <w:rFonts w:ascii="Arial" w:hAnsi="Arial" w:cs="Arial"/>
                <w:b/>
                <w:bCs/>
                <w:sz w:val="20"/>
                <w:szCs w:val="20"/>
              </w:rPr>
              <w:t>Чугун</w:t>
            </w:r>
          </w:p>
        </w:tc>
        <w:tc>
          <w:tcPr>
            <w:tcW w:w="1290"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471 424</w:t>
            </w:r>
          </w:p>
        </w:tc>
        <w:tc>
          <w:tcPr>
            <w:tcW w:w="1302"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360 631</w:t>
            </w:r>
          </w:p>
        </w:tc>
        <w:tc>
          <w:tcPr>
            <w:tcW w:w="1290"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294 175</w:t>
            </w:r>
          </w:p>
        </w:tc>
        <w:tc>
          <w:tcPr>
            <w:tcW w:w="1302"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274 576</w:t>
            </w:r>
          </w:p>
        </w:tc>
        <w:tc>
          <w:tcPr>
            <w:tcW w:w="1257" w:type="dxa"/>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 xml:space="preserve">220 301 </w:t>
            </w:r>
          </w:p>
        </w:tc>
        <w:tc>
          <w:tcPr>
            <w:tcW w:w="1257" w:type="dxa"/>
          </w:tcPr>
          <w:p w:rsidR="00C92CF6" w:rsidRPr="00F464A9" w:rsidRDefault="00C92CF6" w:rsidP="0022323C">
            <w:pPr>
              <w:spacing w:before="120" w:after="120"/>
              <w:jc w:val="center"/>
              <w:rPr>
                <w:rFonts w:ascii="Arial" w:hAnsi="Arial" w:cs="Arial"/>
                <w:bCs/>
                <w:sz w:val="20"/>
                <w:szCs w:val="20"/>
              </w:rPr>
            </w:pPr>
            <w:r>
              <w:rPr>
                <w:rFonts w:ascii="Arial" w:hAnsi="Arial" w:cs="Arial"/>
                <w:bCs/>
                <w:sz w:val="20"/>
                <w:szCs w:val="20"/>
              </w:rPr>
              <w:t>331 506</w:t>
            </w:r>
          </w:p>
        </w:tc>
        <w:tc>
          <w:tcPr>
            <w:tcW w:w="1257" w:type="dxa"/>
          </w:tcPr>
          <w:p w:rsidR="00C92CF6" w:rsidRDefault="00C92CF6" w:rsidP="0022323C">
            <w:pPr>
              <w:spacing w:before="120" w:after="120"/>
              <w:jc w:val="center"/>
              <w:rPr>
                <w:rFonts w:ascii="Arial" w:hAnsi="Arial" w:cs="Arial"/>
                <w:bCs/>
                <w:sz w:val="20"/>
                <w:szCs w:val="20"/>
              </w:rPr>
            </w:pPr>
            <w:r w:rsidRPr="00C92CF6">
              <w:rPr>
                <w:rFonts w:ascii="Arial" w:hAnsi="Arial" w:cs="Arial"/>
                <w:bCs/>
                <w:sz w:val="20"/>
                <w:szCs w:val="20"/>
              </w:rPr>
              <w:t>100 786</w:t>
            </w:r>
          </w:p>
        </w:tc>
      </w:tr>
      <w:tr w:rsidR="00C92CF6" w:rsidRPr="00F464A9" w:rsidTr="00C92CF6">
        <w:trPr>
          <w:trHeight w:val="525"/>
          <w:jc w:val="center"/>
        </w:trPr>
        <w:tc>
          <w:tcPr>
            <w:tcW w:w="1818" w:type="dxa"/>
            <w:vAlign w:val="center"/>
            <w:hideMark/>
          </w:tcPr>
          <w:p w:rsidR="00C92CF6" w:rsidRPr="00F464A9" w:rsidRDefault="00C92CF6" w:rsidP="0022323C">
            <w:pPr>
              <w:spacing w:before="120" w:after="120"/>
              <w:jc w:val="center"/>
              <w:rPr>
                <w:rFonts w:ascii="Arial" w:hAnsi="Arial" w:cs="Arial"/>
                <w:b/>
                <w:bCs/>
                <w:sz w:val="20"/>
                <w:szCs w:val="20"/>
              </w:rPr>
            </w:pPr>
            <w:r w:rsidRPr="00F464A9">
              <w:rPr>
                <w:rFonts w:ascii="Arial" w:hAnsi="Arial" w:cs="Arial"/>
                <w:b/>
                <w:bCs/>
                <w:sz w:val="20"/>
                <w:szCs w:val="20"/>
              </w:rPr>
              <w:t>Ферромарганец</w:t>
            </w:r>
          </w:p>
        </w:tc>
        <w:tc>
          <w:tcPr>
            <w:tcW w:w="1290"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55 920</w:t>
            </w:r>
          </w:p>
        </w:tc>
        <w:tc>
          <w:tcPr>
            <w:tcW w:w="1302"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55 703</w:t>
            </w:r>
          </w:p>
        </w:tc>
        <w:tc>
          <w:tcPr>
            <w:tcW w:w="1290"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63 579</w:t>
            </w:r>
          </w:p>
        </w:tc>
        <w:tc>
          <w:tcPr>
            <w:tcW w:w="1302" w:type="dxa"/>
            <w:vAlign w:val="center"/>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64 953</w:t>
            </w:r>
          </w:p>
        </w:tc>
        <w:tc>
          <w:tcPr>
            <w:tcW w:w="1257" w:type="dxa"/>
          </w:tcPr>
          <w:p w:rsidR="00C92CF6" w:rsidRPr="00F464A9" w:rsidRDefault="00C92CF6" w:rsidP="0022323C">
            <w:pPr>
              <w:spacing w:before="120" w:after="120"/>
              <w:jc w:val="center"/>
              <w:rPr>
                <w:rFonts w:ascii="Arial" w:hAnsi="Arial" w:cs="Arial"/>
                <w:bCs/>
                <w:sz w:val="20"/>
                <w:szCs w:val="20"/>
              </w:rPr>
            </w:pPr>
            <w:r w:rsidRPr="00F464A9">
              <w:rPr>
                <w:rFonts w:ascii="Arial" w:hAnsi="Arial" w:cs="Arial"/>
                <w:bCs/>
                <w:sz w:val="20"/>
                <w:szCs w:val="20"/>
              </w:rPr>
              <w:t>87 526</w:t>
            </w:r>
          </w:p>
        </w:tc>
        <w:tc>
          <w:tcPr>
            <w:tcW w:w="1257" w:type="dxa"/>
          </w:tcPr>
          <w:p w:rsidR="00C92CF6" w:rsidRPr="00F464A9" w:rsidRDefault="00C92CF6" w:rsidP="0022323C">
            <w:pPr>
              <w:spacing w:before="120" w:after="120"/>
              <w:jc w:val="center"/>
              <w:rPr>
                <w:rFonts w:ascii="Arial" w:hAnsi="Arial" w:cs="Arial"/>
                <w:bCs/>
                <w:sz w:val="20"/>
                <w:szCs w:val="20"/>
              </w:rPr>
            </w:pPr>
            <w:r>
              <w:rPr>
                <w:rFonts w:ascii="Arial" w:hAnsi="Arial" w:cs="Arial"/>
                <w:bCs/>
                <w:sz w:val="20"/>
                <w:szCs w:val="20"/>
              </w:rPr>
              <w:t>61 574</w:t>
            </w:r>
          </w:p>
        </w:tc>
        <w:tc>
          <w:tcPr>
            <w:tcW w:w="1257" w:type="dxa"/>
          </w:tcPr>
          <w:p w:rsidR="00C92CF6" w:rsidRDefault="00C92CF6" w:rsidP="0022323C">
            <w:pPr>
              <w:spacing w:before="120" w:after="120"/>
              <w:jc w:val="center"/>
              <w:rPr>
                <w:rFonts w:ascii="Arial" w:hAnsi="Arial" w:cs="Arial"/>
                <w:bCs/>
                <w:sz w:val="20"/>
                <w:szCs w:val="20"/>
              </w:rPr>
            </w:pPr>
            <w:r w:rsidRPr="00C92CF6">
              <w:rPr>
                <w:rFonts w:ascii="Arial" w:hAnsi="Arial" w:cs="Arial"/>
                <w:bCs/>
                <w:sz w:val="20"/>
                <w:szCs w:val="20"/>
              </w:rPr>
              <w:t>66 508</w:t>
            </w:r>
          </w:p>
        </w:tc>
      </w:tr>
    </w:tbl>
    <w:p w:rsidR="00CD1711" w:rsidRPr="00F464A9" w:rsidRDefault="00CD1711" w:rsidP="00CD1711">
      <w:pPr>
        <w:spacing w:before="120" w:after="120"/>
        <w:ind w:firstLine="709"/>
        <w:jc w:val="both"/>
        <w:rPr>
          <w:rFonts w:ascii="Arial" w:hAnsi="Arial" w:cs="Arial"/>
          <w:szCs w:val="22"/>
        </w:rPr>
      </w:pPr>
      <w:r w:rsidRPr="00F464A9">
        <w:rPr>
          <w:rFonts w:ascii="Arial" w:hAnsi="Arial" w:cs="Arial"/>
          <w:szCs w:val="22"/>
        </w:rPr>
        <w:lastRenderedPageBreak/>
        <w:t>Выручка от реализации основной продукции в 20</w:t>
      </w:r>
      <w:r w:rsidR="002C648A">
        <w:rPr>
          <w:rFonts w:ascii="Arial" w:hAnsi="Arial" w:cs="Arial"/>
          <w:szCs w:val="22"/>
        </w:rPr>
        <w:t>2</w:t>
      </w:r>
      <w:r w:rsidR="008A0B5A">
        <w:rPr>
          <w:rFonts w:ascii="Arial" w:hAnsi="Arial" w:cs="Arial"/>
          <w:szCs w:val="22"/>
        </w:rPr>
        <w:t>1</w:t>
      </w:r>
      <w:r w:rsidRPr="00F464A9">
        <w:rPr>
          <w:rFonts w:ascii="Arial" w:hAnsi="Arial" w:cs="Arial"/>
          <w:szCs w:val="22"/>
        </w:rPr>
        <w:t xml:space="preserve"> году составила </w:t>
      </w:r>
      <w:r w:rsidR="00BE3ED4" w:rsidRPr="00F464A9">
        <w:rPr>
          <w:rFonts w:ascii="Arial" w:hAnsi="Arial" w:cs="Arial"/>
          <w:szCs w:val="22"/>
        </w:rPr>
        <w:t>12</w:t>
      </w:r>
      <w:r w:rsidR="0014147E" w:rsidRPr="00F464A9">
        <w:rPr>
          <w:rFonts w:ascii="Arial" w:hAnsi="Arial" w:cs="Arial"/>
          <w:szCs w:val="22"/>
        </w:rPr>
        <w:t> </w:t>
      </w:r>
      <w:r w:rsidR="008A0B5A">
        <w:rPr>
          <w:rFonts w:ascii="Arial" w:hAnsi="Arial" w:cs="Arial"/>
          <w:szCs w:val="22"/>
        </w:rPr>
        <w:t>415</w:t>
      </w:r>
      <w:r w:rsidR="0014147E" w:rsidRPr="00F464A9">
        <w:rPr>
          <w:rFonts w:ascii="Arial" w:hAnsi="Arial" w:cs="Arial"/>
          <w:szCs w:val="22"/>
        </w:rPr>
        <w:t>,</w:t>
      </w:r>
      <w:r w:rsidR="008A0B5A">
        <w:rPr>
          <w:rFonts w:ascii="Arial" w:hAnsi="Arial" w:cs="Arial"/>
          <w:szCs w:val="22"/>
        </w:rPr>
        <w:t>3</w:t>
      </w:r>
      <w:r w:rsidRPr="00F464A9">
        <w:rPr>
          <w:rFonts w:ascii="Arial" w:hAnsi="Arial" w:cs="Arial"/>
          <w:szCs w:val="22"/>
        </w:rPr>
        <w:t xml:space="preserve"> млн. руб.</w:t>
      </w:r>
      <w:r w:rsidR="009F3211">
        <w:rPr>
          <w:rFonts w:ascii="Arial" w:hAnsi="Arial" w:cs="Arial"/>
          <w:szCs w:val="22"/>
        </w:rPr>
        <w:t xml:space="preserve">, что на </w:t>
      </w:r>
      <w:r w:rsidR="008A0B5A">
        <w:rPr>
          <w:rFonts w:ascii="Arial" w:hAnsi="Arial" w:cs="Arial"/>
          <w:szCs w:val="22"/>
        </w:rPr>
        <w:t>192</w:t>
      </w:r>
      <w:r w:rsidR="009F3211">
        <w:rPr>
          <w:rFonts w:ascii="Arial" w:hAnsi="Arial" w:cs="Arial"/>
          <w:szCs w:val="22"/>
        </w:rPr>
        <w:t>,</w:t>
      </w:r>
      <w:r w:rsidR="008A0B5A">
        <w:rPr>
          <w:rFonts w:ascii="Arial" w:hAnsi="Arial" w:cs="Arial"/>
          <w:szCs w:val="22"/>
        </w:rPr>
        <w:t>03</w:t>
      </w:r>
      <w:r w:rsidR="009F3211">
        <w:rPr>
          <w:rFonts w:ascii="Arial" w:hAnsi="Arial" w:cs="Arial"/>
          <w:szCs w:val="22"/>
        </w:rPr>
        <w:t xml:space="preserve"> млн.руб. </w:t>
      </w:r>
      <w:r w:rsidR="008A0B5A">
        <w:rPr>
          <w:rFonts w:ascii="Arial" w:hAnsi="Arial" w:cs="Arial"/>
          <w:szCs w:val="22"/>
        </w:rPr>
        <w:t xml:space="preserve">выше </w:t>
      </w:r>
      <w:r w:rsidR="009F3211">
        <w:rPr>
          <w:rFonts w:ascii="Arial" w:hAnsi="Arial" w:cs="Arial"/>
          <w:szCs w:val="22"/>
        </w:rPr>
        <w:t>уровня 20</w:t>
      </w:r>
      <w:r w:rsidR="008A0B5A">
        <w:rPr>
          <w:rFonts w:ascii="Arial" w:hAnsi="Arial" w:cs="Arial"/>
          <w:szCs w:val="22"/>
        </w:rPr>
        <w:t>20</w:t>
      </w:r>
      <w:r w:rsidR="009F3211">
        <w:rPr>
          <w:rFonts w:ascii="Arial" w:hAnsi="Arial" w:cs="Arial"/>
          <w:szCs w:val="22"/>
        </w:rPr>
        <w:t xml:space="preserve"> года.</w:t>
      </w:r>
    </w:p>
    <w:p w:rsidR="00CD1711" w:rsidRPr="006C6F72" w:rsidRDefault="00CD1711" w:rsidP="00CD1711">
      <w:pPr>
        <w:spacing w:before="120" w:after="120"/>
        <w:ind w:firstLine="709"/>
        <w:jc w:val="both"/>
        <w:rPr>
          <w:rFonts w:ascii="Arial" w:hAnsi="Arial" w:cs="Arial"/>
          <w:szCs w:val="22"/>
        </w:rPr>
      </w:pPr>
      <w:r w:rsidRPr="006C6F72">
        <w:rPr>
          <w:rFonts w:ascii="Arial" w:hAnsi="Arial" w:cs="Arial"/>
          <w:szCs w:val="22"/>
        </w:rPr>
        <w:t>Выручка от реализации неосновных видов продукции и неликвидов в 20</w:t>
      </w:r>
      <w:r w:rsidR="006C6F72" w:rsidRPr="006C6F72">
        <w:rPr>
          <w:rFonts w:ascii="Arial" w:hAnsi="Arial" w:cs="Arial"/>
          <w:szCs w:val="22"/>
        </w:rPr>
        <w:t>2</w:t>
      </w:r>
      <w:r w:rsidR="008A0B5A">
        <w:rPr>
          <w:rFonts w:ascii="Arial" w:hAnsi="Arial" w:cs="Arial"/>
          <w:szCs w:val="22"/>
        </w:rPr>
        <w:t>1</w:t>
      </w:r>
      <w:r w:rsidRPr="006C6F72">
        <w:rPr>
          <w:rFonts w:ascii="Arial" w:hAnsi="Arial" w:cs="Arial"/>
          <w:szCs w:val="22"/>
        </w:rPr>
        <w:t xml:space="preserve"> году составила </w:t>
      </w:r>
      <w:r w:rsidR="008A0B5A">
        <w:rPr>
          <w:rFonts w:ascii="Arial" w:hAnsi="Arial" w:cs="Arial"/>
          <w:szCs w:val="22"/>
        </w:rPr>
        <w:t>454</w:t>
      </w:r>
      <w:r w:rsidR="00BE3ED4" w:rsidRPr="006C6F72">
        <w:rPr>
          <w:rFonts w:ascii="Arial" w:hAnsi="Arial" w:cs="Arial"/>
          <w:szCs w:val="22"/>
        </w:rPr>
        <w:t>,</w:t>
      </w:r>
      <w:r w:rsidR="006C6F72" w:rsidRPr="006C6F72">
        <w:rPr>
          <w:rFonts w:ascii="Arial" w:hAnsi="Arial" w:cs="Arial"/>
          <w:szCs w:val="22"/>
        </w:rPr>
        <w:t>6</w:t>
      </w:r>
      <w:r w:rsidRPr="006C6F72">
        <w:rPr>
          <w:rFonts w:ascii="Arial" w:hAnsi="Arial" w:cs="Arial"/>
          <w:szCs w:val="22"/>
        </w:rPr>
        <w:t xml:space="preserve"> млн. руб., что на </w:t>
      </w:r>
      <w:r w:rsidR="008A0B5A">
        <w:rPr>
          <w:rFonts w:ascii="Arial" w:hAnsi="Arial" w:cs="Arial"/>
          <w:szCs w:val="22"/>
        </w:rPr>
        <w:t>60</w:t>
      </w:r>
      <w:r w:rsidRPr="006C6F72">
        <w:rPr>
          <w:rFonts w:ascii="Arial" w:hAnsi="Arial" w:cs="Arial"/>
          <w:szCs w:val="22"/>
        </w:rPr>
        <w:t>,</w:t>
      </w:r>
      <w:r w:rsidR="008A0B5A">
        <w:rPr>
          <w:rFonts w:ascii="Arial" w:hAnsi="Arial" w:cs="Arial"/>
          <w:szCs w:val="22"/>
        </w:rPr>
        <w:t>03</w:t>
      </w:r>
      <w:r w:rsidRPr="006C6F72">
        <w:rPr>
          <w:rFonts w:ascii="Arial" w:hAnsi="Arial" w:cs="Arial"/>
          <w:szCs w:val="22"/>
        </w:rPr>
        <w:t xml:space="preserve"> млн. руб. </w:t>
      </w:r>
      <w:r w:rsidR="006C6F72" w:rsidRPr="006C6F72">
        <w:rPr>
          <w:rFonts w:ascii="Arial" w:hAnsi="Arial" w:cs="Arial"/>
          <w:szCs w:val="22"/>
        </w:rPr>
        <w:t>больше</w:t>
      </w:r>
      <w:r w:rsidRPr="006C6F72">
        <w:rPr>
          <w:rFonts w:ascii="Arial" w:hAnsi="Arial" w:cs="Arial"/>
          <w:szCs w:val="22"/>
        </w:rPr>
        <w:t xml:space="preserve"> уровня 20</w:t>
      </w:r>
      <w:r w:rsidR="008A0B5A">
        <w:rPr>
          <w:rFonts w:ascii="Arial" w:hAnsi="Arial" w:cs="Arial"/>
          <w:szCs w:val="22"/>
        </w:rPr>
        <w:t>20</w:t>
      </w:r>
      <w:r w:rsidRPr="006C6F72">
        <w:rPr>
          <w:rFonts w:ascii="Arial" w:hAnsi="Arial" w:cs="Arial"/>
          <w:szCs w:val="22"/>
        </w:rPr>
        <w:t xml:space="preserve"> года.</w:t>
      </w:r>
    </w:p>
    <w:p w:rsidR="009F3211" w:rsidRDefault="008A0B5A" w:rsidP="00CD1711">
      <w:pPr>
        <w:spacing w:before="120" w:after="120"/>
        <w:ind w:firstLine="709"/>
        <w:jc w:val="both"/>
        <w:rPr>
          <w:rFonts w:ascii="Arial" w:hAnsi="Arial" w:cs="Arial"/>
          <w:szCs w:val="22"/>
        </w:rPr>
      </w:pPr>
      <w:r>
        <w:rPr>
          <w:rFonts w:ascii="Arial" w:hAnsi="Arial" w:cs="Arial"/>
          <w:szCs w:val="22"/>
        </w:rPr>
        <w:t>В 4 квартале 2020 года ПАО «КМЗ» перешел на давальческую переработку окатышей железорудных, в 3 квартале 2021 года также осуществляется переработка м</w:t>
      </w:r>
      <w:r w:rsidRPr="00706A09">
        <w:rPr>
          <w:rFonts w:ascii="Arial" w:hAnsi="Arial" w:cs="Arial"/>
          <w:szCs w:val="22"/>
        </w:rPr>
        <w:t>арганцево</w:t>
      </w:r>
      <w:r>
        <w:rPr>
          <w:rFonts w:ascii="Arial" w:hAnsi="Arial" w:cs="Arial"/>
          <w:szCs w:val="22"/>
        </w:rPr>
        <w:t xml:space="preserve">й руды. </w:t>
      </w:r>
      <w:r w:rsidR="009F3211" w:rsidRPr="0082565C">
        <w:rPr>
          <w:rFonts w:ascii="Arial" w:hAnsi="Arial" w:cs="Arial"/>
          <w:szCs w:val="22"/>
        </w:rPr>
        <w:t xml:space="preserve">Выручка </w:t>
      </w:r>
      <w:r w:rsidR="00EC4056" w:rsidRPr="0082565C">
        <w:rPr>
          <w:rFonts w:ascii="Arial" w:hAnsi="Arial" w:cs="Arial"/>
          <w:szCs w:val="22"/>
        </w:rPr>
        <w:t xml:space="preserve">от реализации услуг по переработке составила </w:t>
      </w:r>
      <w:r>
        <w:rPr>
          <w:rFonts w:ascii="Arial" w:hAnsi="Arial" w:cs="Arial"/>
          <w:szCs w:val="22"/>
        </w:rPr>
        <w:t>7 711</w:t>
      </w:r>
      <w:r w:rsidR="00EC4056" w:rsidRPr="0082565C">
        <w:rPr>
          <w:rFonts w:ascii="Arial" w:hAnsi="Arial" w:cs="Arial"/>
          <w:szCs w:val="22"/>
        </w:rPr>
        <w:t>,</w:t>
      </w:r>
      <w:r>
        <w:rPr>
          <w:rFonts w:ascii="Arial" w:hAnsi="Arial" w:cs="Arial"/>
          <w:szCs w:val="22"/>
        </w:rPr>
        <w:t>53</w:t>
      </w:r>
      <w:r w:rsidR="00EC4056" w:rsidRPr="0082565C">
        <w:rPr>
          <w:rFonts w:ascii="Arial" w:hAnsi="Arial" w:cs="Arial"/>
          <w:szCs w:val="22"/>
        </w:rPr>
        <w:t xml:space="preserve"> млн.</w:t>
      </w:r>
      <w:r>
        <w:rPr>
          <w:rFonts w:ascii="Arial" w:hAnsi="Arial" w:cs="Arial"/>
          <w:szCs w:val="22"/>
        </w:rPr>
        <w:t xml:space="preserve"> </w:t>
      </w:r>
      <w:r w:rsidR="00EC4056" w:rsidRPr="0082565C">
        <w:rPr>
          <w:rFonts w:ascii="Arial" w:hAnsi="Arial" w:cs="Arial"/>
          <w:szCs w:val="22"/>
        </w:rPr>
        <w:t>руб.</w:t>
      </w:r>
      <w:r>
        <w:rPr>
          <w:rFonts w:ascii="Arial" w:hAnsi="Arial" w:cs="Arial"/>
          <w:szCs w:val="22"/>
        </w:rPr>
        <w:t>, что на 6 738,82 млн.руб. больше уровня 2020 года.</w:t>
      </w:r>
      <w:r w:rsidR="009F3211" w:rsidRPr="00EC4056">
        <w:rPr>
          <w:rFonts w:ascii="Arial" w:hAnsi="Arial" w:cs="Arial"/>
          <w:szCs w:val="22"/>
        </w:rPr>
        <w:t xml:space="preserve">  </w:t>
      </w:r>
    </w:p>
    <w:p w:rsidR="00CD1711" w:rsidRPr="002C648A" w:rsidRDefault="00CD1711" w:rsidP="00CD1711">
      <w:pPr>
        <w:spacing w:before="120" w:after="120"/>
        <w:ind w:firstLine="709"/>
        <w:jc w:val="both"/>
        <w:rPr>
          <w:rFonts w:ascii="Arial" w:hAnsi="Arial" w:cs="Arial"/>
          <w:szCs w:val="22"/>
          <w:highlight w:val="yellow"/>
        </w:rPr>
      </w:pPr>
      <w:r w:rsidRPr="00EC4056">
        <w:rPr>
          <w:rFonts w:ascii="Arial" w:hAnsi="Arial" w:cs="Arial"/>
          <w:szCs w:val="22"/>
        </w:rPr>
        <w:t>Выручка от реализации</w:t>
      </w:r>
      <w:r w:rsidR="00EC4056" w:rsidRPr="00EC4056">
        <w:rPr>
          <w:rFonts w:ascii="Arial" w:hAnsi="Arial" w:cs="Arial"/>
          <w:szCs w:val="22"/>
        </w:rPr>
        <w:t xml:space="preserve"> коммунальных и прочих</w:t>
      </w:r>
      <w:r w:rsidRPr="00EC4056">
        <w:rPr>
          <w:rFonts w:ascii="Arial" w:hAnsi="Arial" w:cs="Arial"/>
          <w:szCs w:val="22"/>
        </w:rPr>
        <w:t xml:space="preserve"> услуг в 20</w:t>
      </w:r>
      <w:r w:rsidR="005A218D" w:rsidRPr="00EC4056">
        <w:rPr>
          <w:rFonts w:ascii="Arial" w:hAnsi="Arial" w:cs="Arial"/>
          <w:szCs w:val="22"/>
        </w:rPr>
        <w:t>2</w:t>
      </w:r>
      <w:r w:rsidR="008A0B5A">
        <w:rPr>
          <w:rFonts w:ascii="Arial" w:hAnsi="Arial" w:cs="Arial"/>
          <w:szCs w:val="22"/>
        </w:rPr>
        <w:t>1</w:t>
      </w:r>
      <w:r w:rsidRPr="00EC4056">
        <w:rPr>
          <w:rFonts w:ascii="Arial" w:hAnsi="Arial" w:cs="Arial"/>
          <w:szCs w:val="22"/>
        </w:rPr>
        <w:t xml:space="preserve"> году составила </w:t>
      </w:r>
      <w:r w:rsidR="008A0B5A">
        <w:rPr>
          <w:rFonts w:ascii="Arial" w:hAnsi="Arial" w:cs="Arial"/>
          <w:szCs w:val="22"/>
        </w:rPr>
        <w:t>291</w:t>
      </w:r>
      <w:r w:rsidRPr="00EC4056">
        <w:rPr>
          <w:rFonts w:ascii="Arial" w:hAnsi="Arial" w:cs="Arial"/>
          <w:szCs w:val="22"/>
        </w:rPr>
        <w:t>,</w:t>
      </w:r>
      <w:r w:rsidR="008A0B5A">
        <w:rPr>
          <w:rFonts w:ascii="Arial" w:hAnsi="Arial" w:cs="Arial"/>
          <w:szCs w:val="22"/>
        </w:rPr>
        <w:t>61</w:t>
      </w:r>
      <w:r w:rsidRPr="00EC4056">
        <w:rPr>
          <w:rFonts w:ascii="Arial" w:hAnsi="Arial" w:cs="Arial"/>
          <w:szCs w:val="22"/>
        </w:rPr>
        <w:t xml:space="preserve"> млн. руб., что на </w:t>
      </w:r>
      <w:r w:rsidR="008A0B5A">
        <w:rPr>
          <w:rFonts w:ascii="Arial" w:hAnsi="Arial" w:cs="Arial"/>
          <w:szCs w:val="22"/>
        </w:rPr>
        <w:t>21</w:t>
      </w:r>
      <w:r w:rsidR="00EC4056" w:rsidRPr="00EC4056">
        <w:rPr>
          <w:rFonts w:ascii="Arial" w:hAnsi="Arial" w:cs="Arial"/>
          <w:szCs w:val="22"/>
        </w:rPr>
        <w:t>,</w:t>
      </w:r>
      <w:r w:rsidR="008A0B5A">
        <w:rPr>
          <w:rFonts w:ascii="Arial" w:hAnsi="Arial" w:cs="Arial"/>
          <w:szCs w:val="22"/>
        </w:rPr>
        <w:t>57</w:t>
      </w:r>
      <w:r w:rsidRPr="00EC4056">
        <w:rPr>
          <w:rFonts w:ascii="Arial" w:hAnsi="Arial" w:cs="Arial"/>
          <w:szCs w:val="22"/>
        </w:rPr>
        <w:t xml:space="preserve"> млн. руб. </w:t>
      </w:r>
      <w:r w:rsidR="003B14E7" w:rsidRPr="00EC4056">
        <w:rPr>
          <w:rFonts w:ascii="Arial" w:hAnsi="Arial" w:cs="Arial"/>
          <w:szCs w:val="22"/>
        </w:rPr>
        <w:t>больше</w:t>
      </w:r>
      <w:r w:rsidRPr="00EC4056">
        <w:rPr>
          <w:rFonts w:ascii="Arial" w:hAnsi="Arial" w:cs="Arial"/>
          <w:szCs w:val="22"/>
        </w:rPr>
        <w:t>, чем в 20</w:t>
      </w:r>
      <w:r w:rsidR="008A0B5A">
        <w:rPr>
          <w:rFonts w:ascii="Arial" w:hAnsi="Arial" w:cs="Arial"/>
          <w:szCs w:val="22"/>
        </w:rPr>
        <w:t>20</w:t>
      </w:r>
      <w:r w:rsidRPr="00EC4056">
        <w:rPr>
          <w:rFonts w:ascii="Arial" w:hAnsi="Arial" w:cs="Arial"/>
          <w:szCs w:val="22"/>
        </w:rPr>
        <w:t xml:space="preserve"> году.</w:t>
      </w:r>
      <w:r w:rsidR="009F3211" w:rsidRPr="00EC4056">
        <w:rPr>
          <w:rFonts w:ascii="Arial" w:hAnsi="Arial" w:cs="Arial"/>
          <w:szCs w:val="22"/>
        </w:rPr>
        <w:t xml:space="preserve"> </w:t>
      </w:r>
      <w:r w:rsidRPr="00EC4056">
        <w:rPr>
          <w:rFonts w:ascii="Arial" w:hAnsi="Arial" w:cs="Arial"/>
          <w:szCs w:val="22"/>
        </w:rPr>
        <w:t xml:space="preserve">Отпуск теплоэнергии </w:t>
      </w:r>
      <w:r w:rsidRPr="00BC307A">
        <w:rPr>
          <w:rFonts w:ascii="Arial" w:hAnsi="Arial" w:cs="Arial"/>
          <w:szCs w:val="22"/>
        </w:rPr>
        <w:t>сторонним потребителям в 20</w:t>
      </w:r>
      <w:r w:rsidR="00CA061C" w:rsidRPr="00BC307A">
        <w:rPr>
          <w:rFonts w:ascii="Arial" w:hAnsi="Arial" w:cs="Arial"/>
          <w:szCs w:val="22"/>
        </w:rPr>
        <w:t>2</w:t>
      </w:r>
      <w:r w:rsidR="008A0B5A">
        <w:rPr>
          <w:rFonts w:ascii="Arial" w:hAnsi="Arial" w:cs="Arial"/>
          <w:szCs w:val="22"/>
        </w:rPr>
        <w:t>1</w:t>
      </w:r>
      <w:r w:rsidRPr="00BC307A">
        <w:rPr>
          <w:rFonts w:ascii="Arial" w:hAnsi="Arial" w:cs="Arial"/>
          <w:szCs w:val="22"/>
        </w:rPr>
        <w:t xml:space="preserve"> году составил </w:t>
      </w:r>
      <w:r w:rsidR="003A3B6D">
        <w:rPr>
          <w:rFonts w:ascii="Arial" w:hAnsi="Arial" w:cs="Arial"/>
          <w:szCs w:val="22"/>
        </w:rPr>
        <w:t>153</w:t>
      </w:r>
      <w:r w:rsidRPr="00BC307A">
        <w:rPr>
          <w:rFonts w:ascii="Arial" w:hAnsi="Arial" w:cs="Arial"/>
          <w:szCs w:val="22"/>
        </w:rPr>
        <w:t>,</w:t>
      </w:r>
      <w:r w:rsidR="003A3B6D">
        <w:rPr>
          <w:rFonts w:ascii="Arial" w:hAnsi="Arial" w:cs="Arial"/>
          <w:szCs w:val="22"/>
        </w:rPr>
        <w:t>7</w:t>
      </w:r>
      <w:r w:rsidRPr="00BC307A">
        <w:rPr>
          <w:rFonts w:ascii="Arial" w:hAnsi="Arial" w:cs="Arial"/>
          <w:szCs w:val="22"/>
        </w:rPr>
        <w:t xml:space="preserve"> тыс. Гкал.</w:t>
      </w:r>
    </w:p>
    <w:p w:rsidR="00495DB9" w:rsidRPr="00DF0BB0" w:rsidRDefault="00495DB9" w:rsidP="00495DB9">
      <w:pPr>
        <w:pStyle w:val="ab"/>
        <w:spacing w:before="120" w:after="120"/>
        <w:ind w:left="0" w:firstLine="709"/>
        <w:jc w:val="both"/>
        <w:rPr>
          <w:rFonts w:ascii="Arial" w:hAnsi="Arial" w:cs="Arial"/>
          <w:szCs w:val="22"/>
        </w:rPr>
      </w:pPr>
      <w:r w:rsidRPr="00DF0BB0">
        <w:rPr>
          <w:rFonts w:ascii="Arial" w:hAnsi="Arial" w:cs="Arial"/>
          <w:szCs w:val="22"/>
        </w:rPr>
        <w:t>В 20</w:t>
      </w:r>
      <w:r w:rsidR="00BC307A" w:rsidRPr="00DF0BB0">
        <w:rPr>
          <w:rFonts w:ascii="Arial" w:hAnsi="Arial" w:cs="Arial"/>
          <w:szCs w:val="22"/>
        </w:rPr>
        <w:t>2</w:t>
      </w:r>
      <w:r w:rsidR="003A3B6D">
        <w:rPr>
          <w:rFonts w:ascii="Arial" w:hAnsi="Arial" w:cs="Arial"/>
          <w:szCs w:val="22"/>
        </w:rPr>
        <w:t>1</w:t>
      </w:r>
      <w:r w:rsidRPr="00DF0BB0">
        <w:rPr>
          <w:rFonts w:ascii="Arial" w:hAnsi="Arial" w:cs="Arial"/>
          <w:szCs w:val="22"/>
        </w:rPr>
        <w:t xml:space="preserve"> году ПАО «КМЗ» получило </w:t>
      </w:r>
      <w:r w:rsidR="003A3B6D">
        <w:rPr>
          <w:rFonts w:ascii="Arial" w:hAnsi="Arial" w:cs="Arial"/>
          <w:szCs w:val="22"/>
        </w:rPr>
        <w:t>2</w:t>
      </w:r>
      <w:r w:rsidRPr="00DF0BB0">
        <w:rPr>
          <w:rFonts w:ascii="Arial" w:hAnsi="Arial" w:cs="Arial"/>
          <w:szCs w:val="22"/>
        </w:rPr>
        <w:t> </w:t>
      </w:r>
      <w:r w:rsidR="003A3B6D">
        <w:rPr>
          <w:rFonts w:ascii="Arial" w:hAnsi="Arial" w:cs="Arial"/>
          <w:szCs w:val="22"/>
        </w:rPr>
        <w:t>773</w:t>
      </w:r>
      <w:r w:rsidRPr="00DF0BB0">
        <w:rPr>
          <w:rFonts w:ascii="Arial" w:hAnsi="Arial" w:cs="Arial"/>
          <w:szCs w:val="22"/>
        </w:rPr>
        <w:t>,</w:t>
      </w:r>
      <w:r w:rsidR="003A3B6D">
        <w:rPr>
          <w:rFonts w:ascii="Arial" w:hAnsi="Arial" w:cs="Arial"/>
          <w:szCs w:val="22"/>
        </w:rPr>
        <w:t>87</w:t>
      </w:r>
      <w:r w:rsidRPr="00DF0BB0">
        <w:rPr>
          <w:rFonts w:ascii="Arial" w:hAnsi="Arial" w:cs="Arial"/>
          <w:szCs w:val="22"/>
        </w:rPr>
        <w:t xml:space="preserve"> млн. рублей выручки </w:t>
      </w:r>
      <w:r w:rsidR="0060774C" w:rsidRPr="00DF0BB0">
        <w:rPr>
          <w:rFonts w:ascii="Arial" w:hAnsi="Arial" w:cs="Arial"/>
          <w:szCs w:val="22"/>
        </w:rPr>
        <w:t>от</w:t>
      </w:r>
      <w:r w:rsidRPr="00DF0BB0">
        <w:rPr>
          <w:rFonts w:ascii="Arial" w:hAnsi="Arial" w:cs="Arial"/>
          <w:szCs w:val="22"/>
        </w:rPr>
        <w:t xml:space="preserve"> </w:t>
      </w:r>
      <w:r w:rsidR="0060774C" w:rsidRPr="00DF0BB0">
        <w:rPr>
          <w:rFonts w:ascii="Arial" w:hAnsi="Arial" w:cs="Arial"/>
          <w:szCs w:val="22"/>
        </w:rPr>
        <w:t>реализации</w:t>
      </w:r>
      <w:r w:rsidRPr="00DF0BB0">
        <w:rPr>
          <w:rFonts w:ascii="Arial" w:hAnsi="Arial" w:cs="Arial"/>
          <w:szCs w:val="22"/>
        </w:rPr>
        <w:t xml:space="preserve"> продукции других производителей.</w:t>
      </w:r>
    </w:p>
    <w:p w:rsidR="00CD1711" w:rsidRPr="00226395" w:rsidRDefault="00CD1711" w:rsidP="00CD1711">
      <w:pPr>
        <w:spacing w:before="120" w:after="120"/>
        <w:ind w:firstLine="709"/>
        <w:jc w:val="both"/>
        <w:rPr>
          <w:rFonts w:ascii="Arial" w:hAnsi="Arial" w:cs="Arial"/>
          <w:szCs w:val="22"/>
        </w:rPr>
      </w:pPr>
      <w:r w:rsidRPr="00226395">
        <w:rPr>
          <w:rFonts w:ascii="Arial" w:hAnsi="Arial" w:cs="Arial"/>
          <w:szCs w:val="22"/>
        </w:rPr>
        <w:t>Динамика изменения цен на готовую продукцию в 20</w:t>
      </w:r>
      <w:r w:rsidR="00C92CF6">
        <w:rPr>
          <w:rFonts w:ascii="Arial" w:hAnsi="Arial" w:cs="Arial"/>
          <w:szCs w:val="22"/>
        </w:rPr>
        <w:t>21</w:t>
      </w:r>
      <w:r w:rsidRPr="00226395">
        <w:rPr>
          <w:rFonts w:ascii="Arial" w:hAnsi="Arial" w:cs="Arial"/>
          <w:szCs w:val="22"/>
        </w:rPr>
        <w:t xml:space="preserve"> году по отношению к уровню 20</w:t>
      </w:r>
      <w:r w:rsidR="00C92CF6">
        <w:rPr>
          <w:rFonts w:ascii="Arial" w:hAnsi="Arial" w:cs="Arial"/>
          <w:szCs w:val="22"/>
        </w:rPr>
        <w:t>20</w:t>
      </w:r>
      <w:r w:rsidR="00A05C56" w:rsidRPr="00226395">
        <w:rPr>
          <w:rFonts w:ascii="Arial" w:hAnsi="Arial" w:cs="Arial"/>
          <w:szCs w:val="22"/>
        </w:rPr>
        <w:t xml:space="preserve"> года (среднегодовая):</w:t>
      </w:r>
    </w:p>
    <w:p w:rsidR="00CD1711" w:rsidRPr="00E3546A" w:rsidRDefault="00CD1711" w:rsidP="00CD1711">
      <w:pPr>
        <w:numPr>
          <w:ilvl w:val="0"/>
          <w:numId w:val="6"/>
        </w:numPr>
        <w:spacing w:before="120" w:after="120"/>
        <w:jc w:val="both"/>
        <w:rPr>
          <w:rFonts w:ascii="Arial" w:hAnsi="Arial" w:cs="Arial"/>
          <w:szCs w:val="22"/>
        </w:rPr>
      </w:pPr>
      <w:r w:rsidRPr="00E3546A">
        <w:rPr>
          <w:rFonts w:ascii="Arial" w:hAnsi="Arial" w:cs="Arial"/>
          <w:szCs w:val="22"/>
        </w:rPr>
        <w:t xml:space="preserve">чугун литейный </w:t>
      </w:r>
      <w:r w:rsidRPr="00E3546A">
        <w:rPr>
          <w:rFonts w:ascii="Arial" w:hAnsi="Arial" w:cs="Arial"/>
          <w:szCs w:val="22"/>
        </w:rPr>
        <w:tab/>
      </w:r>
      <w:r w:rsidRPr="00E3546A">
        <w:rPr>
          <w:rFonts w:ascii="Arial" w:hAnsi="Arial" w:cs="Arial"/>
          <w:szCs w:val="22"/>
        </w:rPr>
        <w:tab/>
      </w:r>
      <w:r w:rsidR="00226395" w:rsidRPr="00E3546A">
        <w:rPr>
          <w:rFonts w:ascii="Arial" w:hAnsi="Arial" w:cs="Arial"/>
          <w:szCs w:val="22"/>
        </w:rPr>
        <w:t xml:space="preserve"> </w:t>
      </w:r>
      <w:r w:rsidR="00C92CF6">
        <w:rPr>
          <w:rFonts w:ascii="Arial" w:hAnsi="Arial" w:cs="Arial"/>
          <w:szCs w:val="22"/>
        </w:rPr>
        <w:t>+</w:t>
      </w:r>
      <w:r w:rsidRPr="00E3546A">
        <w:rPr>
          <w:rFonts w:ascii="Arial" w:hAnsi="Arial" w:cs="Arial"/>
          <w:szCs w:val="22"/>
        </w:rPr>
        <w:t xml:space="preserve"> </w:t>
      </w:r>
      <w:r w:rsidR="00C92CF6">
        <w:rPr>
          <w:rFonts w:ascii="Arial" w:hAnsi="Arial" w:cs="Arial"/>
          <w:szCs w:val="22"/>
        </w:rPr>
        <w:t>82</w:t>
      </w:r>
      <w:r w:rsidR="000A6533" w:rsidRPr="00E3546A">
        <w:rPr>
          <w:rFonts w:ascii="Arial" w:hAnsi="Arial" w:cs="Arial"/>
          <w:szCs w:val="22"/>
        </w:rPr>
        <w:t>,</w:t>
      </w:r>
      <w:r w:rsidR="00C92CF6">
        <w:rPr>
          <w:rFonts w:ascii="Arial" w:hAnsi="Arial" w:cs="Arial"/>
          <w:szCs w:val="22"/>
        </w:rPr>
        <w:t>16</w:t>
      </w:r>
      <w:r w:rsidRPr="00E3546A">
        <w:rPr>
          <w:rFonts w:ascii="Arial" w:hAnsi="Arial" w:cs="Arial"/>
          <w:szCs w:val="22"/>
        </w:rPr>
        <w:t>%;</w:t>
      </w:r>
    </w:p>
    <w:p w:rsidR="00CD1711" w:rsidRPr="00E3546A" w:rsidRDefault="00CD1711" w:rsidP="00CD1711">
      <w:pPr>
        <w:numPr>
          <w:ilvl w:val="0"/>
          <w:numId w:val="6"/>
        </w:numPr>
        <w:spacing w:before="120" w:after="120"/>
        <w:jc w:val="both"/>
        <w:rPr>
          <w:rFonts w:ascii="Arial" w:hAnsi="Arial" w:cs="Arial"/>
          <w:szCs w:val="22"/>
        </w:rPr>
      </w:pPr>
      <w:r w:rsidRPr="00E3546A">
        <w:rPr>
          <w:rFonts w:ascii="Arial" w:hAnsi="Arial" w:cs="Arial"/>
          <w:szCs w:val="22"/>
        </w:rPr>
        <w:t xml:space="preserve">чугун передельный  </w:t>
      </w:r>
      <w:r w:rsidRPr="00E3546A">
        <w:rPr>
          <w:rFonts w:ascii="Arial" w:hAnsi="Arial" w:cs="Arial"/>
          <w:szCs w:val="22"/>
        </w:rPr>
        <w:tab/>
      </w:r>
      <w:r w:rsidR="00226395" w:rsidRPr="00E3546A">
        <w:rPr>
          <w:rFonts w:ascii="Arial" w:hAnsi="Arial" w:cs="Arial"/>
          <w:szCs w:val="22"/>
        </w:rPr>
        <w:t xml:space="preserve"> </w:t>
      </w:r>
      <w:r w:rsidR="00C92CF6">
        <w:rPr>
          <w:rFonts w:ascii="Arial" w:hAnsi="Arial" w:cs="Arial"/>
          <w:szCs w:val="22"/>
        </w:rPr>
        <w:t>+</w:t>
      </w:r>
      <w:r w:rsidRPr="00E3546A">
        <w:rPr>
          <w:rFonts w:ascii="Arial" w:hAnsi="Arial" w:cs="Arial"/>
          <w:szCs w:val="22"/>
        </w:rPr>
        <w:t xml:space="preserve"> </w:t>
      </w:r>
      <w:r w:rsidR="00C92CF6">
        <w:rPr>
          <w:rFonts w:ascii="Arial" w:hAnsi="Arial" w:cs="Arial"/>
          <w:szCs w:val="22"/>
        </w:rPr>
        <w:t>103</w:t>
      </w:r>
      <w:r w:rsidR="000A6533" w:rsidRPr="00E3546A">
        <w:rPr>
          <w:rFonts w:ascii="Arial" w:hAnsi="Arial" w:cs="Arial"/>
          <w:szCs w:val="22"/>
        </w:rPr>
        <w:t>,</w:t>
      </w:r>
      <w:r w:rsidR="00C92CF6">
        <w:rPr>
          <w:rFonts w:ascii="Arial" w:hAnsi="Arial" w:cs="Arial"/>
          <w:szCs w:val="22"/>
        </w:rPr>
        <w:t>22</w:t>
      </w:r>
      <w:r w:rsidRPr="00E3546A">
        <w:rPr>
          <w:rFonts w:ascii="Arial" w:hAnsi="Arial" w:cs="Arial"/>
          <w:szCs w:val="22"/>
        </w:rPr>
        <w:t>%;</w:t>
      </w:r>
    </w:p>
    <w:p w:rsidR="00607D5C" w:rsidRPr="00E3546A" w:rsidRDefault="00CD1711" w:rsidP="00530215">
      <w:pPr>
        <w:pStyle w:val="a8"/>
        <w:numPr>
          <w:ilvl w:val="0"/>
          <w:numId w:val="6"/>
        </w:numPr>
        <w:spacing w:before="120" w:after="120"/>
        <w:contextualSpacing/>
        <w:rPr>
          <w:rFonts w:ascii="Arial" w:hAnsi="Arial" w:cs="Arial"/>
          <w:i/>
          <w:sz w:val="28"/>
        </w:rPr>
      </w:pPr>
      <w:r w:rsidRPr="00E3546A">
        <w:rPr>
          <w:rFonts w:ascii="Arial" w:hAnsi="Arial" w:cs="Arial"/>
          <w:szCs w:val="22"/>
        </w:rPr>
        <w:t xml:space="preserve">ферромарганец        </w:t>
      </w:r>
      <w:r w:rsidRPr="00E3546A">
        <w:rPr>
          <w:rFonts w:ascii="Arial" w:hAnsi="Arial" w:cs="Arial"/>
          <w:szCs w:val="22"/>
        </w:rPr>
        <w:tab/>
      </w:r>
      <w:r w:rsidR="000A6533" w:rsidRPr="00E3546A">
        <w:rPr>
          <w:rFonts w:ascii="Arial" w:hAnsi="Arial" w:cs="Arial"/>
          <w:szCs w:val="22"/>
        </w:rPr>
        <w:t xml:space="preserve"> </w:t>
      </w:r>
      <w:r w:rsidR="00226395" w:rsidRPr="00E3546A">
        <w:rPr>
          <w:rFonts w:ascii="Arial" w:hAnsi="Arial" w:cs="Arial"/>
          <w:szCs w:val="22"/>
        </w:rPr>
        <w:t>+</w:t>
      </w:r>
      <w:r w:rsidRPr="00E3546A">
        <w:rPr>
          <w:rFonts w:ascii="Arial" w:hAnsi="Arial" w:cs="Arial"/>
          <w:szCs w:val="22"/>
        </w:rPr>
        <w:t xml:space="preserve"> </w:t>
      </w:r>
      <w:r w:rsidR="00C92CF6">
        <w:rPr>
          <w:rFonts w:ascii="Arial" w:hAnsi="Arial" w:cs="Arial"/>
          <w:szCs w:val="22"/>
        </w:rPr>
        <w:t>52</w:t>
      </w:r>
      <w:r w:rsidR="00CC7633" w:rsidRPr="00E3546A">
        <w:rPr>
          <w:rFonts w:ascii="Arial" w:hAnsi="Arial" w:cs="Arial"/>
          <w:szCs w:val="22"/>
        </w:rPr>
        <w:t>,</w:t>
      </w:r>
      <w:r w:rsidR="00C92CF6">
        <w:rPr>
          <w:rFonts w:ascii="Arial" w:hAnsi="Arial" w:cs="Arial"/>
          <w:szCs w:val="22"/>
        </w:rPr>
        <w:t>79</w:t>
      </w:r>
      <w:r w:rsidRPr="00E3546A">
        <w:rPr>
          <w:rFonts w:ascii="Arial" w:hAnsi="Arial" w:cs="Arial"/>
          <w:szCs w:val="22"/>
        </w:rPr>
        <w:t>%.</w:t>
      </w:r>
    </w:p>
    <w:p w:rsidR="00607D5C" w:rsidRPr="00F464A9" w:rsidRDefault="00607D5C" w:rsidP="00530215">
      <w:pPr>
        <w:pStyle w:val="2"/>
        <w:spacing w:before="120" w:after="120"/>
        <w:rPr>
          <w:rFonts w:ascii="Arial" w:hAnsi="Arial" w:cs="Arial"/>
          <w:i/>
          <w:color w:val="auto"/>
          <w:sz w:val="28"/>
        </w:rPr>
      </w:pPr>
    </w:p>
    <w:p w:rsidR="003B315E" w:rsidRPr="00044C17" w:rsidRDefault="003B315E">
      <w:pPr>
        <w:spacing w:after="200"/>
        <w:jc w:val="both"/>
        <w:rPr>
          <w:rFonts w:ascii="Arial" w:eastAsiaTheme="majorEastAsia" w:hAnsi="Arial" w:cs="Arial"/>
          <w:b/>
          <w:bCs/>
          <w:i/>
          <w:sz w:val="28"/>
          <w:szCs w:val="26"/>
          <w:highlight w:val="yellow"/>
        </w:rPr>
      </w:pPr>
      <w:r w:rsidRPr="00044C17">
        <w:rPr>
          <w:rFonts w:ascii="Arial" w:hAnsi="Arial" w:cs="Arial"/>
          <w:i/>
          <w:sz w:val="28"/>
          <w:highlight w:val="yellow"/>
        </w:rPr>
        <w:br w:type="page"/>
      </w:r>
    </w:p>
    <w:p w:rsidR="0040624C" w:rsidRPr="008972AB" w:rsidRDefault="0040624C" w:rsidP="00530215">
      <w:pPr>
        <w:pStyle w:val="2"/>
        <w:spacing w:before="120" w:after="120"/>
        <w:rPr>
          <w:rFonts w:ascii="Arial" w:hAnsi="Arial" w:cs="Arial"/>
          <w:i/>
          <w:color w:val="auto"/>
          <w:sz w:val="28"/>
        </w:rPr>
      </w:pPr>
      <w:bookmarkStart w:id="25" w:name="_Toc100678744"/>
      <w:r w:rsidRPr="00BE67CD">
        <w:rPr>
          <w:rFonts w:ascii="Arial" w:hAnsi="Arial" w:cs="Arial"/>
          <w:i/>
          <w:color w:val="auto"/>
          <w:sz w:val="28"/>
        </w:rPr>
        <w:lastRenderedPageBreak/>
        <w:t>Себестоимость продукции</w:t>
      </w:r>
      <w:bookmarkEnd w:id="24"/>
      <w:bookmarkEnd w:id="25"/>
    </w:p>
    <w:p w:rsidR="00B76683" w:rsidRPr="008972AB" w:rsidRDefault="00B76683" w:rsidP="00B76683">
      <w:pPr>
        <w:ind w:left="180" w:firstLine="528"/>
        <w:jc w:val="both"/>
        <w:rPr>
          <w:rFonts w:ascii="Arial" w:hAnsi="Arial" w:cs="Arial"/>
          <w:szCs w:val="22"/>
        </w:rPr>
      </w:pPr>
      <w:r w:rsidRPr="008972AB">
        <w:rPr>
          <w:rFonts w:ascii="Arial" w:hAnsi="Arial" w:cs="Arial"/>
          <w:szCs w:val="22"/>
        </w:rPr>
        <w:t xml:space="preserve">В общей структуре себестоимости предприятия материальные затраты занимают </w:t>
      </w:r>
      <w:r w:rsidR="00C173F4">
        <w:rPr>
          <w:rFonts w:ascii="Arial" w:hAnsi="Arial" w:cs="Arial"/>
          <w:szCs w:val="22"/>
        </w:rPr>
        <w:t>8</w:t>
      </w:r>
      <w:r w:rsidR="00962BB3">
        <w:rPr>
          <w:rFonts w:ascii="Arial" w:hAnsi="Arial" w:cs="Arial"/>
          <w:szCs w:val="22"/>
        </w:rPr>
        <w:t>8</w:t>
      </w:r>
      <w:r w:rsidR="00C173F4">
        <w:rPr>
          <w:rFonts w:ascii="Arial" w:hAnsi="Arial" w:cs="Arial"/>
          <w:szCs w:val="22"/>
        </w:rPr>
        <w:t>,</w:t>
      </w:r>
      <w:r w:rsidR="00962BB3">
        <w:rPr>
          <w:rFonts w:ascii="Arial" w:hAnsi="Arial" w:cs="Arial"/>
          <w:szCs w:val="22"/>
        </w:rPr>
        <w:t>31</w:t>
      </w:r>
      <w:r w:rsidRPr="008972AB">
        <w:rPr>
          <w:rFonts w:ascii="Arial" w:hAnsi="Arial" w:cs="Arial"/>
          <w:szCs w:val="22"/>
        </w:rPr>
        <w:t>%. В 20</w:t>
      </w:r>
      <w:r w:rsidR="00DB7796">
        <w:rPr>
          <w:rFonts w:ascii="Arial" w:hAnsi="Arial" w:cs="Arial"/>
          <w:szCs w:val="22"/>
        </w:rPr>
        <w:t>2</w:t>
      </w:r>
      <w:r w:rsidR="00962BB3">
        <w:rPr>
          <w:rFonts w:ascii="Arial" w:hAnsi="Arial" w:cs="Arial"/>
          <w:szCs w:val="22"/>
        </w:rPr>
        <w:t>1</w:t>
      </w:r>
      <w:r w:rsidRPr="008972AB">
        <w:rPr>
          <w:rFonts w:ascii="Arial" w:hAnsi="Arial" w:cs="Arial"/>
          <w:szCs w:val="22"/>
        </w:rPr>
        <w:t xml:space="preserve"> году полная структура себестоимости продукции ПАО «КМЗ» по элементам затрат сложилась следующим образом:</w:t>
      </w:r>
    </w:p>
    <w:p w:rsidR="00B76683" w:rsidRPr="00044C17" w:rsidRDefault="00B76683" w:rsidP="00B76683">
      <w:pPr>
        <w:ind w:left="180" w:firstLine="528"/>
        <w:jc w:val="both"/>
        <w:rPr>
          <w:rFonts w:ascii="Arial" w:hAnsi="Arial" w:cs="Arial"/>
          <w:szCs w:val="22"/>
          <w:highlight w:val="yellow"/>
        </w:rPr>
      </w:pPr>
    </w:p>
    <w:tbl>
      <w:tblPr>
        <w:tblW w:w="0" w:type="auto"/>
        <w:jc w:val="center"/>
        <w:tblLook w:val="01E0"/>
      </w:tblPr>
      <w:tblGrid>
        <w:gridCol w:w="4836"/>
        <w:gridCol w:w="2109"/>
      </w:tblGrid>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Топливо</w:t>
            </w:r>
          </w:p>
        </w:tc>
        <w:tc>
          <w:tcPr>
            <w:tcW w:w="2109" w:type="dxa"/>
            <w:shd w:val="clear" w:color="auto" w:fill="auto"/>
          </w:tcPr>
          <w:p w:rsidR="00B76683" w:rsidRPr="00DB7796" w:rsidRDefault="00962BB3" w:rsidP="00962BB3">
            <w:pPr>
              <w:jc w:val="center"/>
              <w:rPr>
                <w:rFonts w:ascii="Arial" w:hAnsi="Arial" w:cs="Arial"/>
                <w:szCs w:val="20"/>
              </w:rPr>
            </w:pPr>
            <w:r>
              <w:rPr>
                <w:rFonts w:ascii="Arial" w:hAnsi="Arial" w:cs="Arial"/>
                <w:sz w:val="22"/>
                <w:szCs w:val="20"/>
              </w:rPr>
              <w:t>61</w:t>
            </w:r>
            <w:r w:rsidR="00B76683" w:rsidRPr="00DB7796">
              <w:rPr>
                <w:rFonts w:ascii="Arial" w:hAnsi="Arial" w:cs="Arial"/>
                <w:sz w:val="22"/>
                <w:szCs w:val="20"/>
              </w:rPr>
              <w:t>,</w:t>
            </w:r>
            <w:r>
              <w:rPr>
                <w:rFonts w:ascii="Arial" w:hAnsi="Arial" w:cs="Arial"/>
                <w:sz w:val="22"/>
                <w:szCs w:val="20"/>
              </w:rPr>
              <w:t>14</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Сырье и материалы</w:t>
            </w:r>
          </w:p>
        </w:tc>
        <w:tc>
          <w:tcPr>
            <w:tcW w:w="2109" w:type="dxa"/>
            <w:shd w:val="clear" w:color="auto" w:fill="auto"/>
          </w:tcPr>
          <w:p w:rsidR="00B76683" w:rsidRPr="00DB7796" w:rsidRDefault="00962BB3" w:rsidP="00962BB3">
            <w:pPr>
              <w:jc w:val="center"/>
              <w:rPr>
                <w:rFonts w:ascii="Arial" w:hAnsi="Arial" w:cs="Arial"/>
                <w:szCs w:val="20"/>
              </w:rPr>
            </w:pPr>
            <w:r>
              <w:rPr>
                <w:rFonts w:ascii="Arial" w:hAnsi="Arial" w:cs="Arial"/>
                <w:sz w:val="22"/>
                <w:szCs w:val="20"/>
              </w:rPr>
              <w:t>24</w:t>
            </w:r>
            <w:r w:rsidR="00503025" w:rsidRPr="00DB7796">
              <w:rPr>
                <w:rFonts w:ascii="Arial" w:hAnsi="Arial" w:cs="Arial"/>
                <w:sz w:val="22"/>
                <w:szCs w:val="20"/>
              </w:rPr>
              <w:t>,</w:t>
            </w:r>
            <w:r>
              <w:rPr>
                <w:rFonts w:ascii="Arial" w:hAnsi="Arial" w:cs="Arial"/>
                <w:sz w:val="22"/>
                <w:szCs w:val="20"/>
              </w:rPr>
              <w:t>54</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Электроэнергия (со стороны)</w:t>
            </w:r>
          </w:p>
        </w:tc>
        <w:tc>
          <w:tcPr>
            <w:tcW w:w="2109" w:type="dxa"/>
            <w:shd w:val="clear" w:color="auto" w:fill="auto"/>
          </w:tcPr>
          <w:p w:rsidR="00B76683" w:rsidRPr="00DB7796" w:rsidRDefault="00B76683" w:rsidP="00962BB3">
            <w:pPr>
              <w:jc w:val="center"/>
              <w:rPr>
                <w:rFonts w:ascii="Arial" w:hAnsi="Arial" w:cs="Arial"/>
                <w:szCs w:val="20"/>
              </w:rPr>
            </w:pPr>
            <w:r w:rsidRPr="00DB7796">
              <w:rPr>
                <w:rFonts w:ascii="Arial" w:hAnsi="Arial" w:cs="Arial"/>
                <w:sz w:val="22"/>
                <w:szCs w:val="20"/>
              </w:rPr>
              <w:t>0,</w:t>
            </w:r>
            <w:r w:rsidR="007B27B1" w:rsidRPr="00DB7796">
              <w:rPr>
                <w:rFonts w:ascii="Arial" w:hAnsi="Arial" w:cs="Arial"/>
                <w:sz w:val="22"/>
                <w:szCs w:val="20"/>
              </w:rPr>
              <w:t>0</w:t>
            </w:r>
            <w:r w:rsidR="00962BB3">
              <w:rPr>
                <w:rFonts w:ascii="Arial" w:hAnsi="Arial" w:cs="Arial"/>
                <w:sz w:val="22"/>
                <w:szCs w:val="20"/>
              </w:rPr>
              <w:t>8</w:t>
            </w:r>
            <w:r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Работы и услуги производственного характера</w:t>
            </w:r>
          </w:p>
          <w:p w:rsidR="00B76683" w:rsidRPr="00DB7796" w:rsidRDefault="00B76683" w:rsidP="00B600A8">
            <w:pPr>
              <w:rPr>
                <w:rFonts w:ascii="Arial" w:hAnsi="Arial" w:cs="Arial"/>
                <w:szCs w:val="20"/>
              </w:rPr>
            </w:pPr>
          </w:p>
        </w:tc>
        <w:tc>
          <w:tcPr>
            <w:tcW w:w="2109" w:type="dxa"/>
            <w:shd w:val="clear" w:color="auto" w:fill="auto"/>
          </w:tcPr>
          <w:p w:rsidR="00B76683" w:rsidRPr="00DB7796" w:rsidRDefault="00962BB3" w:rsidP="00962BB3">
            <w:pPr>
              <w:jc w:val="center"/>
              <w:rPr>
                <w:rFonts w:ascii="Arial" w:hAnsi="Arial" w:cs="Arial"/>
                <w:szCs w:val="20"/>
              </w:rPr>
            </w:pPr>
            <w:r>
              <w:rPr>
                <w:rFonts w:ascii="Arial" w:hAnsi="Arial" w:cs="Arial"/>
                <w:sz w:val="22"/>
                <w:szCs w:val="20"/>
              </w:rPr>
              <w:t>2</w:t>
            </w:r>
            <w:r w:rsidR="00B76683" w:rsidRPr="00DB7796">
              <w:rPr>
                <w:rFonts w:ascii="Arial" w:hAnsi="Arial" w:cs="Arial"/>
                <w:sz w:val="22"/>
                <w:szCs w:val="20"/>
              </w:rPr>
              <w:t>,</w:t>
            </w:r>
            <w:r>
              <w:rPr>
                <w:rFonts w:ascii="Arial" w:hAnsi="Arial" w:cs="Arial"/>
                <w:sz w:val="22"/>
                <w:szCs w:val="20"/>
              </w:rPr>
              <w:t>55</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b/>
                <w:bCs/>
                <w:szCs w:val="20"/>
              </w:rPr>
            </w:pPr>
            <w:r w:rsidRPr="00DB7796">
              <w:rPr>
                <w:rFonts w:ascii="Arial" w:hAnsi="Arial" w:cs="Arial"/>
                <w:b/>
                <w:bCs/>
                <w:sz w:val="22"/>
                <w:szCs w:val="20"/>
              </w:rPr>
              <w:t>Итого материальные затраты</w:t>
            </w:r>
          </w:p>
        </w:tc>
        <w:tc>
          <w:tcPr>
            <w:tcW w:w="2109" w:type="dxa"/>
            <w:shd w:val="clear" w:color="auto" w:fill="auto"/>
          </w:tcPr>
          <w:p w:rsidR="00B76683" w:rsidRPr="00DB7796" w:rsidRDefault="00C173F4" w:rsidP="00962BB3">
            <w:pPr>
              <w:jc w:val="center"/>
              <w:rPr>
                <w:rFonts w:ascii="Arial" w:hAnsi="Arial" w:cs="Arial"/>
                <w:b/>
                <w:bCs/>
                <w:szCs w:val="20"/>
              </w:rPr>
            </w:pPr>
            <w:r w:rsidRPr="00DB7796">
              <w:rPr>
                <w:rFonts w:ascii="Arial" w:hAnsi="Arial" w:cs="Arial"/>
                <w:b/>
                <w:bCs/>
                <w:sz w:val="22"/>
                <w:szCs w:val="20"/>
              </w:rPr>
              <w:t>8</w:t>
            </w:r>
            <w:r w:rsidR="00962BB3">
              <w:rPr>
                <w:rFonts w:ascii="Arial" w:hAnsi="Arial" w:cs="Arial"/>
                <w:b/>
                <w:bCs/>
                <w:sz w:val="22"/>
                <w:szCs w:val="20"/>
              </w:rPr>
              <w:t>8</w:t>
            </w:r>
            <w:r w:rsidR="00B76683" w:rsidRPr="00DB7796">
              <w:rPr>
                <w:rFonts w:ascii="Arial" w:hAnsi="Arial" w:cs="Arial"/>
                <w:b/>
                <w:bCs/>
                <w:sz w:val="22"/>
                <w:szCs w:val="20"/>
              </w:rPr>
              <w:t>,</w:t>
            </w:r>
            <w:r w:rsidR="00962BB3">
              <w:rPr>
                <w:rFonts w:ascii="Arial" w:hAnsi="Arial" w:cs="Arial"/>
                <w:b/>
                <w:bCs/>
                <w:sz w:val="22"/>
                <w:szCs w:val="20"/>
              </w:rPr>
              <w:t>31</w:t>
            </w:r>
            <w:r w:rsidR="00B76683" w:rsidRPr="00DB7796">
              <w:rPr>
                <w:rFonts w:ascii="Arial" w:hAnsi="Arial" w:cs="Arial"/>
                <w:b/>
                <w:bCs/>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Трудозатраты, включая ЕСН</w:t>
            </w:r>
          </w:p>
        </w:tc>
        <w:tc>
          <w:tcPr>
            <w:tcW w:w="2109" w:type="dxa"/>
            <w:shd w:val="clear" w:color="auto" w:fill="auto"/>
          </w:tcPr>
          <w:p w:rsidR="00B76683" w:rsidRPr="00DB7796" w:rsidRDefault="00DB7796" w:rsidP="00962BB3">
            <w:pPr>
              <w:jc w:val="center"/>
              <w:rPr>
                <w:rFonts w:ascii="Arial" w:hAnsi="Arial" w:cs="Arial"/>
                <w:szCs w:val="20"/>
              </w:rPr>
            </w:pPr>
            <w:r w:rsidRPr="00DB7796">
              <w:rPr>
                <w:rFonts w:ascii="Arial" w:hAnsi="Arial" w:cs="Arial"/>
                <w:sz w:val="22"/>
                <w:szCs w:val="20"/>
              </w:rPr>
              <w:t>9</w:t>
            </w:r>
            <w:r w:rsidR="00B76683" w:rsidRPr="00DB7796">
              <w:rPr>
                <w:rFonts w:ascii="Arial" w:hAnsi="Arial" w:cs="Arial"/>
                <w:sz w:val="22"/>
                <w:szCs w:val="20"/>
              </w:rPr>
              <w:t>,</w:t>
            </w:r>
            <w:r w:rsidR="00962BB3">
              <w:rPr>
                <w:rFonts w:ascii="Arial" w:hAnsi="Arial" w:cs="Arial"/>
                <w:sz w:val="22"/>
                <w:szCs w:val="20"/>
              </w:rPr>
              <w:t>34</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Амортизация</w:t>
            </w:r>
          </w:p>
        </w:tc>
        <w:tc>
          <w:tcPr>
            <w:tcW w:w="2109" w:type="dxa"/>
            <w:shd w:val="clear" w:color="auto" w:fill="auto"/>
          </w:tcPr>
          <w:p w:rsidR="00B76683" w:rsidRPr="00DB7796" w:rsidRDefault="00DB7796" w:rsidP="00962BB3">
            <w:pPr>
              <w:jc w:val="center"/>
              <w:rPr>
                <w:rFonts w:ascii="Arial" w:hAnsi="Arial" w:cs="Arial"/>
                <w:szCs w:val="20"/>
              </w:rPr>
            </w:pPr>
            <w:r w:rsidRPr="00DB7796">
              <w:rPr>
                <w:rFonts w:ascii="Arial" w:hAnsi="Arial" w:cs="Arial"/>
                <w:sz w:val="22"/>
                <w:szCs w:val="20"/>
              </w:rPr>
              <w:t>2</w:t>
            </w:r>
            <w:r w:rsidR="00B76683" w:rsidRPr="00DB7796">
              <w:rPr>
                <w:rFonts w:ascii="Arial" w:hAnsi="Arial" w:cs="Arial"/>
                <w:sz w:val="22"/>
                <w:szCs w:val="20"/>
              </w:rPr>
              <w:t>,</w:t>
            </w:r>
            <w:r w:rsidR="00962BB3">
              <w:rPr>
                <w:rFonts w:ascii="Arial" w:hAnsi="Arial" w:cs="Arial"/>
                <w:sz w:val="22"/>
                <w:szCs w:val="20"/>
              </w:rPr>
              <w:t>08</w:t>
            </w:r>
            <w:r w:rsidR="00B76683" w:rsidRPr="00DB7796">
              <w:rPr>
                <w:rFonts w:ascii="Arial" w:hAnsi="Arial" w:cs="Arial"/>
                <w:sz w:val="22"/>
                <w:szCs w:val="20"/>
              </w:rPr>
              <w:t xml:space="preserve"> %</w:t>
            </w:r>
          </w:p>
        </w:tc>
      </w:tr>
      <w:tr w:rsidR="00B76683" w:rsidRPr="00DB7796" w:rsidTr="00B600A8">
        <w:trPr>
          <w:trHeight w:val="340"/>
          <w:jc w:val="center"/>
        </w:trPr>
        <w:tc>
          <w:tcPr>
            <w:tcW w:w="4836" w:type="dxa"/>
            <w:shd w:val="clear" w:color="auto" w:fill="auto"/>
          </w:tcPr>
          <w:p w:rsidR="00B76683" w:rsidRPr="00DB7796" w:rsidRDefault="00B76683" w:rsidP="00B600A8">
            <w:pPr>
              <w:rPr>
                <w:rFonts w:ascii="Arial" w:hAnsi="Arial" w:cs="Arial"/>
                <w:szCs w:val="20"/>
              </w:rPr>
            </w:pPr>
            <w:r w:rsidRPr="00DB7796">
              <w:rPr>
                <w:rFonts w:ascii="Arial" w:hAnsi="Arial" w:cs="Arial"/>
                <w:sz w:val="22"/>
                <w:szCs w:val="20"/>
              </w:rPr>
              <w:t>Прочие расходы</w:t>
            </w:r>
          </w:p>
        </w:tc>
        <w:tc>
          <w:tcPr>
            <w:tcW w:w="2109" w:type="dxa"/>
            <w:shd w:val="clear" w:color="auto" w:fill="auto"/>
          </w:tcPr>
          <w:p w:rsidR="00B76683" w:rsidRPr="00DB7796" w:rsidRDefault="00B76683" w:rsidP="00962BB3">
            <w:pPr>
              <w:jc w:val="center"/>
              <w:rPr>
                <w:rFonts w:ascii="Arial" w:hAnsi="Arial" w:cs="Arial"/>
                <w:szCs w:val="20"/>
              </w:rPr>
            </w:pPr>
            <w:r w:rsidRPr="00DB7796">
              <w:rPr>
                <w:rFonts w:ascii="Arial" w:hAnsi="Arial" w:cs="Arial"/>
                <w:sz w:val="22"/>
                <w:szCs w:val="20"/>
              </w:rPr>
              <w:t>0,</w:t>
            </w:r>
            <w:r w:rsidR="00962BB3">
              <w:rPr>
                <w:rFonts w:ascii="Arial" w:hAnsi="Arial" w:cs="Arial"/>
                <w:sz w:val="22"/>
                <w:szCs w:val="20"/>
              </w:rPr>
              <w:t>27</w:t>
            </w:r>
            <w:r w:rsidRPr="00DB7796">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DB7796" w:rsidRDefault="00B76683" w:rsidP="00B600A8">
            <w:pPr>
              <w:rPr>
                <w:rFonts w:ascii="Arial" w:hAnsi="Arial" w:cs="Arial"/>
                <w:b/>
                <w:szCs w:val="20"/>
              </w:rPr>
            </w:pPr>
            <w:r w:rsidRPr="00DB7796">
              <w:rPr>
                <w:rFonts w:ascii="Arial" w:hAnsi="Arial" w:cs="Arial"/>
                <w:b/>
                <w:sz w:val="22"/>
                <w:szCs w:val="20"/>
              </w:rPr>
              <w:t>ИТОГО</w:t>
            </w:r>
          </w:p>
        </w:tc>
        <w:tc>
          <w:tcPr>
            <w:tcW w:w="2109" w:type="dxa"/>
            <w:shd w:val="clear" w:color="auto" w:fill="auto"/>
          </w:tcPr>
          <w:p w:rsidR="00B76683" w:rsidRPr="008972AB" w:rsidRDefault="00B76683" w:rsidP="00B600A8">
            <w:pPr>
              <w:jc w:val="center"/>
              <w:rPr>
                <w:rFonts w:ascii="Arial" w:hAnsi="Arial" w:cs="Arial"/>
                <w:b/>
                <w:szCs w:val="20"/>
              </w:rPr>
            </w:pPr>
            <w:r w:rsidRPr="00DB7796">
              <w:rPr>
                <w:rFonts w:ascii="Arial" w:hAnsi="Arial" w:cs="Arial"/>
                <w:b/>
                <w:sz w:val="22"/>
                <w:szCs w:val="20"/>
              </w:rPr>
              <w:t>100</w:t>
            </w:r>
            <w:r w:rsidR="007B27B1" w:rsidRPr="00DB7796">
              <w:rPr>
                <w:rFonts w:ascii="Arial" w:hAnsi="Arial" w:cs="Arial"/>
                <w:b/>
                <w:sz w:val="22"/>
                <w:szCs w:val="20"/>
              </w:rPr>
              <w:t>,00</w:t>
            </w:r>
            <w:r w:rsidRPr="00DB7796">
              <w:rPr>
                <w:rFonts w:ascii="Arial" w:hAnsi="Arial" w:cs="Arial"/>
                <w:b/>
                <w:sz w:val="22"/>
                <w:szCs w:val="20"/>
              </w:rPr>
              <w:t xml:space="preserve"> %</w:t>
            </w:r>
          </w:p>
        </w:tc>
      </w:tr>
    </w:tbl>
    <w:p w:rsidR="00A06DC9" w:rsidRPr="00360112" w:rsidRDefault="00B76683" w:rsidP="00A06DC9">
      <w:pPr>
        <w:ind w:left="180" w:firstLine="528"/>
        <w:jc w:val="both"/>
        <w:rPr>
          <w:rFonts w:ascii="Arial" w:hAnsi="Arial" w:cs="Arial"/>
          <w:szCs w:val="22"/>
        </w:rPr>
      </w:pPr>
      <w:r w:rsidRPr="00E22D1C">
        <w:rPr>
          <w:rFonts w:ascii="Arial" w:hAnsi="Arial" w:cs="Arial"/>
          <w:szCs w:val="22"/>
        </w:rPr>
        <w:t>Доля материальных затрат в 20</w:t>
      </w:r>
      <w:r w:rsidR="00FE0116" w:rsidRPr="00E22D1C">
        <w:rPr>
          <w:rFonts w:ascii="Arial" w:hAnsi="Arial" w:cs="Arial"/>
          <w:szCs w:val="22"/>
        </w:rPr>
        <w:t>2</w:t>
      </w:r>
      <w:r w:rsidR="00962BB3" w:rsidRPr="00E22D1C">
        <w:rPr>
          <w:rFonts w:ascii="Arial" w:hAnsi="Arial" w:cs="Arial"/>
          <w:szCs w:val="22"/>
        </w:rPr>
        <w:t>1</w:t>
      </w:r>
      <w:r w:rsidRPr="00E22D1C">
        <w:rPr>
          <w:rFonts w:ascii="Arial" w:hAnsi="Arial" w:cs="Arial"/>
          <w:szCs w:val="22"/>
        </w:rPr>
        <w:t xml:space="preserve"> году (</w:t>
      </w:r>
      <w:r w:rsidR="00962BB3" w:rsidRPr="00E22D1C">
        <w:rPr>
          <w:rFonts w:ascii="Arial" w:hAnsi="Arial" w:cs="Arial"/>
          <w:szCs w:val="22"/>
        </w:rPr>
        <w:t>88</w:t>
      </w:r>
      <w:r w:rsidR="00C173F4" w:rsidRPr="00E22D1C">
        <w:rPr>
          <w:rFonts w:ascii="Arial" w:hAnsi="Arial" w:cs="Arial"/>
          <w:szCs w:val="22"/>
        </w:rPr>
        <w:t>,</w:t>
      </w:r>
      <w:r w:rsidR="00962BB3" w:rsidRPr="00E22D1C">
        <w:rPr>
          <w:rFonts w:ascii="Arial" w:hAnsi="Arial" w:cs="Arial"/>
          <w:szCs w:val="22"/>
        </w:rPr>
        <w:t>31</w:t>
      </w:r>
      <w:r w:rsidRPr="00E22D1C">
        <w:rPr>
          <w:rFonts w:ascii="Arial" w:hAnsi="Arial" w:cs="Arial"/>
          <w:szCs w:val="22"/>
        </w:rPr>
        <w:t>%) по сравнению с 20</w:t>
      </w:r>
      <w:r w:rsidR="00962BB3" w:rsidRPr="00E22D1C">
        <w:rPr>
          <w:rFonts w:ascii="Arial" w:hAnsi="Arial" w:cs="Arial"/>
          <w:szCs w:val="22"/>
        </w:rPr>
        <w:t>20</w:t>
      </w:r>
      <w:r w:rsidR="008346BF" w:rsidRPr="00E22D1C">
        <w:rPr>
          <w:rFonts w:ascii="Arial" w:hAnsi="Arial" w:cs="Arial"/>
          <w:szCs w:val="22"/>
        </w:rPr>
        <w:t xml:space="preserve"> годом </w:t>
      </w:r>
      <w:r w:rsidR="00962BB3" w:rsidRPr="00E22D1C">
        <w:rPr>
          <w:rFonts w:ascii="Arial" w:hAnsi="Arial" w:cs="Arial"/>
          <w:szCs w:val="22"/>
        </w:rPr>
        <w:t>увеличилась</w:t>
      </w:r>
      <w:r w:rsidR="008346BF" w:rsidRPr="00E22D1C">
        <w:rPr>
          <w:rFonts w:ascii="Arial" w:hAnsi="Arial" w:cs="Arial"/>
          <w:szCs w:val="22"/>
        </w:rPr>
        <w:t xml:space="preserve"> на </w:t>
      </w:r>
      <w:r w:rsidR="00962BB3" w:rsidRPr="00E22D1C">
        <w:rPr>
          <w:rFonts w:ascii="Arial" w:hAnsi="Arial" w:cs="Arial"/>
          <w:szCs w:val="22"/>
        </w:rPr>
        <w:t>0</w:t>
      </w:r>
      <w:r w:rsidR="008346BF" w:rsidRPr="00E22D1C">
        <w:rPr>
          <w:rFonts w:ascii="Arial" w:hAnsi="Arial" w:cs="Arial"/>
          <w:szCs w:val="22"/>
        </w:rPr>
        <w:t>,</w:t>
      </w:r>
      <w:r w:rsidR="00962BB3" w:rsidRPr="00E22D1C">
        <w:rPr>
          <w:rFonts w:ascii="Arial" w:hAnsi="Arial" w:cs="Arial"/>
          <w:szCs w:val="22"/>
        </w:rPr>
        <w:t>78</w:t>
      </w:r>
      <w:r w:rsidR="008346BF" w:rsidRPr="00E22D1C">
        <w:rPr>
          <w:rFonts w:ascii="Arial" w:hAnsi="Arial" w:cs="Arial"/>
          <w:szCs w:val="22"/>
        </w:rPr>
        <w:t>%</w:t>
      </w:r>
      <w:r w:rsidRPr="00E22D1C">
        <w:rPr>
          <w:rFonts w:ascii="Arial" w:hAnsi="Arial" w:cs="Arial"/>
          <w:szCs w:val="22"/>
        </w:rPr>
        <w:t xml:space="preserve">. </w:t>
      </w:r>
      <w:r w:rsidR="00962BB3" w:rsidRPr="00E22D1C">
        <w:rPr>
          <w:rFonts w:ascii="Arial" w:hAnsi="Arial" w:cs="Arial"/>
          <w:szCs w:val="22"/>
        </w:rPr>
        <w:t xml:space="preserve">Увеличение </w:t>
      </w:r>
      <w:r w:rsidR="00F35188" w:rsidRPr="00E22D1C">
        <w:rPr>
          <w:rFonts w:ascii="Arial" w:hAnsi="Arial" w:cs="Arial"/>
          <w:szCs w:val="22"/>
        </w:rPr>
        <w:t xml:space="preserve">доли переменных </w:t>
      </w:r>
      <w:r w:rsidR="00852AF1" w:rsidRPr="00E22D1C">
        <w:rPr>
          <w:rFonts w:ascii="Arial" w:hAnsi="Arial" w:cs="Arial"/>
          <w:szCs w:val="22"/>
        </w:rPr>
        <w:t xml:space="preserve">затрат </w:t>
      </w:r>
      <w:r w:rsidR="00F35188" w:rsidRPr="00E22D1C">
        <w:rPr>
          <w:rFonts w:ascii="Arial" w:hAnsi="Arial" w:cs="Arial"/>
          <w:szCs w:val="22"/>
        </w:rPr>
        <w:t>обусловлено тем, что в 202</w:t>
      </w:r>
      <w:r w:rsidR="00962BB3" w:rsidRPr="00E22D1C">
        <w:rPr>
          <w:rFonts w:ascii="Arial" w:hAnsi="Arial" w:cs="Arial"/>
          <w:szCs w:val="22"/>
        </w:rPr>
        <w:t>1</w:t>
      </w:r>
      <w:r w:rsidR="00F35188" w:rsidRPr="00E22D1C">
        <w:rPr>
          <w:rFonts w:ascii="Arial" w:hAnsi="Arial" w:cs="Arial"/>
          <w:szCs w:val="22"/>
        </w:rPr>
        <w:t xml:space="preserve"> году произош</w:t>
      </w:r>
      <w:r w:rsidR="00962BB3" w:rsidRPr="00E22D1C">
        <w:rPr>
          <w:rFonts w:ascii="Arial" w:hAnsi="Arial" w:cs="Arial"/>
          <w:szCs w:val="22"/>
        </w:rPr>
        <w:t>е</w:t>
      </w:r>
      <w:r w:rsidR="00F35188" w:rsidRPr="00E22D1C">
        <w:rPr>
          <w:rFonts w:ascii="Arial" w:hAnsi="Arial" w:cs="Arial"/>
          <w:szCs w:val="22"/>
        </w:rPr>
        <w:t>л значительн</w:t>
      </w:r>
      <w:r w:rsidR="00962BB3" w:rsidRPr="00E22D1C">
        <w:rPr>
          <w:rFonts w:ascii="Arial" w:hAnsi="Arial" w:cs="Arial"/>
          <w:szCs w:val="22"/>
        </w:rPr>
        <w:t>ый</w:t>
      </w:r>
      <w:r w:rsidR="00F35188" w:rsidRPr="00E22D1C">
        <w:rPr>
          <w:rFonts w:ascii="Arial" w:hAnsi="Arial" w:cs="Arial"/>
          <w:szCs w:val="22"/>
        </w:rPr>
        <w:t xml:space="preserve"> </w:t>
      </w:r>
      <w:r w:rsidR="00962BB3" w:rsidRPr="00E22D1C">
        <w:rPr>
          <w:rFonts w:ascii="Arial" w:hAnsi="Arial" w:cs="Arial"/>
          <w:szCs w:val="22"/>
        </w:rPr>
        <w:t xml:space="preserve">рост </w:t>
      </w:r>
      <w:r w:rsidR="00F35188" w:rsidRPr="00E22D1C">
        <w:rPr>
          <w:rFonts w:ascii="Arial" w:hAnsi="Arial" w:cs="Arial"/>
          <w:szCs w:val="22"/>
        </w:rPr>
        <w:t xml:space="preserve">цен на </w:t>
      </w:r>
      <w:r w:rsidR="00E22D1C" w:rsidRPr="00E22D1C">
        <w:rPr>
          <w:rFonts w:ascii="Arial" w:hAnsi="Arial" w:cs="Arial"/>
          <w:szCs w:val="22"/>
        </w:rPr>
        <w:t>кокс и марганцевую руду</w:t>
      </w:r>
      <w:r w:rsidR="00F35188" w:rsidRPr="00E22D1C">
        <w:rPr>
          <w:rFonts w:ascii="Arial" w:hAnsi="Arial" w:cs="Arial"/>
          <w:szCs w:val="22"/>
        </w:rPr>
        <w:t xml:space="preserve">. </w:t>
      </w:r>
      <w:r w:rsidR="00A06DC9" w:rsidRPr="00E22D1C">
        <w:rPr>
          <w:rFonts w:ascii="Arial" w:hAnsi="Arial" w:cs="Arial"/>
          <w:szCs w:val="22"/>
        </w:rPr>
        <w:t xml:space="preserve">В структуре материальных затрат доля сырья и материалов уменьшилась с </w:t>
      </w:r>
      <w:r w:rsidR="00962BB3" w:rsidRPr="00E22D1C">
        <w:rPr>
          <w:rFonts w:ascii="Arial" w:hAnsi="Arial" w:cs="Arial"/>
          <w:szCs w:val="22"/>
        </w:rPr>
        <w:t>46</w:t>
      </w:r>
      <w:r w:rsidR="00A06DC9" w:rsidRPr="00E22D1C">
        <w:rPr>
          <w:rFonts w:ascii="Arial" w:hAnsi="Arial" w:cs="Arial"/>
          <w:szCs w:val="22"/>
        </w:rPr>
        <w:t>,</w:t>
      </w:r>
      <w:r w:rsidR="00962BB3" w:rsidRPr="00E22D1C">
        <w:rPr>
          <w:rFonts w:ascii="Arial" w:hAnsi="Arial" w:cs="Arial"/>
          <w:szCs w:val="22"/>
        </w:rPr>
        <w:t>34</w:t>
      </w:r>
      <w:r w:rsidR="00A06DC9" w:rsidRPr="00E22D1C">
        <w:rPr>
          <w:rFonts w:ascii="Arial" w:hAnsi="Arial" w:cs="Arial"/>
          <w:szCs w:val="22"/>
        </w:rPr>
        <w:t>% в 20</w:t>
      </w:r>
      <w:r w:rsidR="00962BB3" w:rsidRPr="00E22D1C">
        <w:rPr>
          <w:rFonts w:ascii="Arial" w:hAnsi="Arial" w:cs="Arial"/>
          <w:szCs w:val="22"/>
        </w:rPr>
        <w:t>20</w:t>
      </w:r>
      <w:r w:rsidR="00A06DC9" w:rsidRPr="00E22D1C">
        <w:rPr>
          <w:rFonts w:ascii="Arial" w:hAnsi="Arial" w:cs="Arial"/>
          <w:szCs w:val="22"/>
        </w:rPr>
        <w:t xml:space="preserve"> году до </w:t>
      </w:r>
      <w:r w:rsidR="00962BB3" w:rsidRPr="00E22D1C">
        <w:rPr>
          <w:rFonts w:ascii="Arial" w:hAnsi="Arial" w:cs="Arial"/>
          <w:szCs w:val="22"/>
        </w:rPr>
        <w:t>24</w:t>
      </w:r>
      <w:r w:rsidR="00A06DC9" w:rsidRPr="00E22D1C">
        <w:rPr>
          <w:rFonts w:ascii="Arial" w:hAnsi="Arial" w:cs="Arial"/>
          <w:szCs w:val="22"/>
        </w:rPr>
        <w:t>,</w:t>
      </w:r>
      <w:r w:rsidR="00962BB3" w:rsidRPr="00E22D1C">
        <w:rPr>
          <w:rFonts w:ascii="Arial" w:hAnsi="Arial" w:cs="Arial"/>
          <w:szCs w:val="22"/>
        </w:rPr>
        <w:t>54</w:t>
      </w:r>
      <w:r w:rsidR="00A06DC9" w:rsidRPr="00E22D1C">
        <w:rPr>
          <w:rFonts w:ascii="Arial" w:hAnsi="Arial" w:cs="Arial"/>
          <w:szCs w:val="22"/>
        </w:rPr>
        <w:t>% в 202</w:t>
      </w:r>
      <w:r w:rsidR="00962BB3" w:rsidRPr="00E22D1C">
        <w:rPr>
          <w:rFonts w:ascii="Arial" w:hAnsi="Arial" w:cs="Arial"/>
          <w:szCs w:val="22"/>
        </w:rPr>
        <w:t>1</w:t>
      </w:r>
      <w:r w:rsidR="00A06DC9" w:rsidRPr="00E22D1C">
        <w:rPr>
          <w:rFonts w:ascii="Arial" w:hAnsi="Arial" w:cs="Arial"/>
          <w:szCs w:val="22"/>
        </w:rPr>
        <w:t xml:space="preserve"> году, а доля топлива увеличилась с </w:t>
      </w:r>
      <w:r w:rsidR="00962BB3" w:rsidRPr="00E22D1C">
        <w:rPr>
          <w:rFonts w:ascii="Arial" w:hAnsi="Arial" w:cs="Arial"/>
          <w:szCs w:val="22"/>
        </w:rPr>
        <w:t>36</w:t>
      </w:r>
      <w:r w:rsidR="00A06DC9" w:rsidRPr="00E22D1C">
        <w:rPr>
          <w:rFonts w:ascii="Arial" w:hAnsi="Arial" w:cs="Arial"/>
          <w:szCs w:val="22"/>
        </w:rPr>
        <w:t>,</w:t>
      </w:r>
      <w:r w:rsidR="00962BB3" w:rsidRPr="00E22D1C">
        <w:rPr>
          <w:rFonts w:ascii="Arial" w:hAnsi="Arial" w:cs="Arial"/>
          <w:szCs w:val="22"/>
        </w:rPr>
        <w:t>85</w:t>
      </w:r>
      <w:r w:rsidR="00A06DC9" w:rsidRPr="00E22D1C">
        <w:rPr>
          <w:rFonts w:ascii="Arial" w:hAnsi="Arial" w:cs="Arial"/>
          <w:szCs w:val="22"/>
        </w:rPr>
        <w:t xml:space="preserve">% до </w:t>
      </w:r>
      <w:r w:rsidR="00962BB3" w:rsidRPr="00E22D1C">
        <w:rPr>
          <w:rFonts w:ascii="Arial" w:hAnsi="Arial" w:cs="Arial"/>
          <w:szCs w:val="22"/>
        </w:rPr>
        <w:t>61</w:t>
      </w:r>
      <w:r w:rsidR="00A06DC9" w:rsidRPr="00E22D1C">
        <w:rPr>
          <w:rFonts w:ascii="Arial" w:hAnsi="Arial" w:cs="Arial"/>
          <w:szCs w:val="22"/>
        </w:rPr>
        <w:t>,</w:t>
      </w:r>
      <w:r w:rsidR="00962BB3" w:rsidRPr="00E22D1C">
        <w:rPr>
          <w:rFonts w:ascii="Arial" w:hAnsi="Arial" w:cs="Arial"/>
          <w:szCs w:val="22"/>
        </w:rPr>
        <w:t>14</w:t>
      </w:r>
      <w:r w:rsidR="00A06DC9" w:rsidRPr="00E22D1C">
        <w:rPr>
          <w:rFonts w:ascii="Arial" w:hAnsi="Arial" w:cs="Arial"/>
          <w:szCs w:val="22"/>
        </w:rPr>
        <w:t>%.</w:t>
      </w:r>
    </w:p>
    <w:p w:rsidR="00B64B3A" w:rsidRDefault="0045484B" w:rsidP="00B64B3A">
      <w:pPr>
        <w:ind w:left="180" w:firstLine="528"/>
        <w:jc w:val="both"/>
        <w:rPr>
          <w:rFonts w:ascii="Arial" w:hAnsi="Arial" w:cs="Arial"/>
          <w:szCs w:val="22"/>
        </w:rPr>
      </w:pPr>
      <w:r w:rsidRPr="005527EC">
        <w:rPr>
          <w:rFonts w:ascii="Arial" w:hAnsi="Arial" w:cs="Arial"/>
          <w:szCs w:val="22"/>
        </w:rPr>
        <w:t xml:space="preserve">Доля затрат на оплату труда (с учетом социальных отчислений во внебюджетные фонды) </w:t>
      </w:r>
      <w:r w:rsidR="00962BB3">
        <w:rPr>
          <w:rFonts w:ascii="Arial" w:hAnsi="Arial" w:cs="Arial"/>
          <w:szCs w:val="22"/>
        </w:rPr>
        <w:t>снизилась</w:t>
      </w:r>
      <w:r w:rsidRPr="005527EC">
        <w:rPr>
          <w:rFonts w:ascii="Arial" w:hAnsi="Arial" w:cs="Arial"/>
          <w:szCs w:val="22"/>
        </w:rPr>
        <w:t xml:space="preserve"> с </w:t>
      </w:r>
      <w:r w:rsidR="00962BB3">
        <w:rPr>
          <w:rFonts w:ascii="Arial" w:hAnsi="Arial" w:cs="Arial"/>
          <w:szCs w:val="22"/>
        </w:rPr>
        <w:t>9</w:t>
      </w:r>
      <w:r w:rsidRPr="005527EC">
        <w:rPr>
          <w:rFonts w:ascii="Arial" w:hAnsi="Arial" w:cs="Arial"/>
          <w:szCs w:val="22"/>
        </w:rPr>
        <w:t>,</w:t>
      </w:r>
      <w:r w:rsidR="00962BB3">
        <w:rPr>
          <w:rFonts w:ascii="Arial" w:hAnsi="Arial" w:cs="Arial"/>
          <w:szCs w:val="22"/>
        </w:rPr>
        <w:t>59</w:t>
      </w:r>
      <w:r w:rsidRPr="005527EC">
        <w:rPr>
          <w:rFonts w:ascii="Arial" w:hAnsi="Arial" w:cs="Arial"/>
          <w:szCs w:val="22"/>
        </w:rPr>
        <w:t xml:space="preserve">% до </w:t>
      </w:r>
      <w:r>
        <w:rPr>
          <w:rFonts w:ascii="Arial" w:hAnsi="Arial" w:cs="Arial"/>
          <w:szCs w:val="22"/>
        </w:rPr>
        <w:t>9</w:t>
      </w:r>
      <w:r w:rsidRPr="005527EC">
        <w:rPr>
          <w:rFonts w:ascii="Arial" w:hAnsi="Arial" w:cs="Arial"/>
          <w:szCs w:val="22"/>
        </w:rPr>
        <w:t>,</w:t>
      </w:r>
      <w:r w:rsidR="00962BB3">
        <w:rPr>
          <w:rFonts w:ascii="Arial" w:hAnsi="Arial" w:cs="Arial"/>
          <w:szCs w:val="22"/>
        </w:rPr>
        <w:t>34</w:t>
      </w:r>
      <w:r w:rsidRPr="005527EC">
        <w:rPr>
          <w:rFonts w:ascii="Arial" w:hAnsi="Arial" w:cs="Arial"/>
          <w:szCs w:val="22"/>
        </w:rPr>
        <w:t>%. Доли амортизации и прочих затрат в 20</w:t>
      </w:r>
      <w:r w:rsidR="00B64B3A">
        <w:rPr>
          <w:rFonts w:ascii="Arial" w:hAnsi="Arial" w:cs="Arial"/>
          <w:szCs w:val="22"/>
        </w:rPr>
        <w:t>2</w:t>
      </w:r>
      <w:r w:rsidR="00962BB3">
        <w:rPr>
          <w:rFonts w:ascii="Arial" w:hAnsi="Arial" w:cs="Arial"/>
          <w:szCs w:val="22"/>
        </w:rPr>
        <w:t>1</w:t>
      </w:r>
      <w:r w:rsidRPr="005527EC">
        <w:rPr>
          <w:rFonts w:ascii="Arial" w:hAnsi="Arial" w:cs="Arial"/>
          <w:szCs w:val="22"/>
        </w:rPr>
        <w:t xml:space="preserve"> </w:t>
      </w:r>
      <w:r w:rsidRPr="00360112">
        <w:rPr>
          <w:rFonts w:ascii="Arial" w:hAnsi="Arial" w:cs="Arial"/>
          <w:szCs w:val="22"/>
        </w:rPr>
        <w:t>году составили 2,</w:t>
      </w:r>
      <w:r w:rsidR="00962BB3">
        <w:rPr>
          <w:rFonts w:ascii="Arial" w:hAnsi="Arial" w:cs="Arial"/>
          <w:szCs w:val="22"/>
        </w:rPr>
        <w:t>35</w:t>
      </w:r>
      <w:r w:rsidRPr="00360112">
        <w:rPr>
          <w:rFonts w:ascii="Arial" w:hAnsi="Arial" w:cs="Arial"/>
          <w:szCs w:val="22"/>
        </w:rPr>
        <w:t>% против 2,</w:t>
      </w:r>
      <w:r w:rsidR="00962BB3">
        <w:rPr>
          <w:rFonts w:ascii="Arial" w:hAnsi="Arial" w:cs="Arial"/>
          <w:szCs w:val="22"/>
        </w:rPr>
        <w:t>88</w:t>
      </w:r>
      <w:r w:rsidRPr="00360112">
        <w:rPr>
          <w:rFonts w:ascii="Arial" w:hAnsi="Arial" w:cs="Arial"/>
          <w:szCs w:val="22"/>
        </w:rPr>
        <w:t>% в 20</w:t>
      </w:r>
      <w:r w:rsidR="00962BB3">
        <w:rPr>
          <w:rFonts w:ascii="Arial" w:hAnsi="Arial" w:cs="Arial"/>
          <w:szCs w:val="22"/>
        </w:rPr>
        <w:t>20</w:t>
      </w:r>
      <w:r w:rsidRPr="00360112">
        <w:rPr>
          <w:rFonts w:ascii="Arial" w:hAnsi="Arial" w:cs="Arial"/>
          <w:szCs w:val="22"/>
        </w:rPr>
        <w:t xml:space="preserve"> </w:t>
      </w:r>
      <w:r w:rsidRPr="00A01DDD">
        <w:rPr>
          <w:rFonts w:ascii="Arial" w:hAnsi="Arial" w:cs="Arial"/>
          <w:szCs w:val="22"/>
        </w:rPr>
        <w:t xml:space="preserve">году. </w:t>
      </w:r>
      <w:r w:rsidR="00A06DC9" w:rsidRPr="00A01DDD">
        <w:rPr>
          <w:rFonts w:ascii="Arial" w:hAnsi="Arial" w:cs="Arial"/>
          <w:szCs w:val="22"/>
        </w:rPr>
        <w:t>Д</w:t>
      </w:r>
      <w:r w:rsidR="001A6BCF" w:rsidRPr="00A01DDD">
        <w:rPr>
          <w:rFonts w:ascii="Arial" w:hAnsi="Arial" w:cs="Arial"/>
          <w:szCs w:val="22"/>
        </w:rPr>
        <w:t>ол</w:t>
      </w:r>
      <w:r w:rsidR="00A06DC9" w:rsidRPr="00A01DDD">
        <w:rPr>
          <w:rFonts w:ascii="Arial" w:hAnsi="Arial" w:cs="Arial"/>
          <w:szCs w:val="22"/>
        </w:rPr>
        <w:t>я</w:t>
      </w:r>
      <w:r w:rsidR="001A6BCF" w:rsidRPr="00A01DDD">
        <w:rPr>
          <w:rFonts w:ascii="Arial" w:hAnsi="Arial" w:cs="Arial"/>
          <w:szCs w:val="22"/>
        </w:rPr>
        <w:t xml:space="preserve"> </w:t>
      </w:r>
      <w:r w:rsidR="00F35188" w:rsidRPr="00A01DDD">
        <w:rPr>
          <w:rFonts w:ascii="Arial" w:hAnsi="Arial" w:cs="Arial"/>
          <w:szCs w:val="22"/>
        </w:rPr>
        <w:t>условно</w:t>
      </w:r>
      <w:r w:rsidR="001A6BCF" w:rsidRPr="00A01DDD">
        <w:rPr>
          <w:rFonts w:ascii="Arial" w:hAnsi="Arial" w:cs="Arial"/>
          <w:szCs w:val="22"/>
        </w:rPr>
        <w:t xml:space="preserve">-постоянных расходов </w:t>
      </w:r>
      <w:r w:rsidR="00A01DDD" w:rsidRPr="00A01DDD">
        <w:rPr>
          <w:rFonts w:ascii="Arial" w:hAnsi="Arial" w:cs="Arial"/>
          <w:szCs w:val="22"/>
        </w:rPr>
        <w:t>снизилась</w:t>
      </w:r>
      <w:r w:rsidR="00A06DC9" w:rsidRPr="00A01DDD">
        <w:rPr>
          <w:rFonts w:ascii="Arial" w:hAnsi="Arial" w:cs="Arial"/>
          <w:szCs w:val="22"/>
        </w:rPr>
        <w:t xml:space="preserve"> </w:t>
      </w:r>
      <w:r w:rsidR="00A01DDD" w:rsidRPr="00A01DDD">
        <w:rPr>
          <w:rFonts w:ascii="Arial" w:hAnsi="Arial" w:cs="Arial"/>
          <w:szCs w:val="22"/>
        </w:rPr>
        <w:t>на фоне снижения</w:t>
      </w:r>
      <w:r w:rsidR="00B64B3A" w:rsidRPr="00A01DDD">
        <w:rPr>
          <w:rFonts w:ascii="Arial" w:hAnsi="Arial" w:cs="Arial"/>
          <w:szCs w:val="22"/>
        </w:rPr>
        <w:t xml:space="preserve"> коммерческих расходов</w:t>
      </w:r>
      <w:r w:rsidR="00F35188" w:rsidRPr="00A01DDD">
        <w:rPr>
          <w:rFonts w:ascii="Arial" w:hAnsi="Arial" w:cs="Arial"/>
          <w:szCs w:val="22"/>
        </w:rPr>
        <w:t>.</w:t>
      </w:r>
    </w:p>
    <w:p w:rsidR="00B76683" w:rsidRPr="00ED10A1" w:rsidRDefault="00D80C0A" w:rsidP="00B64B3A">
      <w:pPr>
        <w:ind w:left="180" w:firstLine="528"/>
        <w:jc w:val="both"/>
        <w:rPr>
          <w:rFonts w:ascii="Arial" w:hAnsi="Arial" w:cs="Arial"/>
          <w:szCs w:val="22"/>
        </w:rPr>
      </w:pPr>
      <w:r>
        <w:rPr>
          <w:rFonts w:ascii="Arial" w:hAnsi="Arial" w:cs="Arial"/>
          <w:szCs w:val="22"/>
        </w:rPr>
        <w:t>Среднегодовая ц</w:t>
      </w:r>
      <w:r w:rsidR="00B76683" w:rsidRPr="00ED10A1">
        <w:rPr>
          <w:rFonts w:ascii="Arial" w:hAnsi="Arial" w:cs="Arial"/>
          <w:szCs w:val="22"/>
        </w:rPr>
        <w:t>ена кокса в 20</w:t>
      </w:r>
      <w:r w:rsidR="00ED10A1">
        <w:rPr>
          <w:rFonts w:ascii="Arial" w:hAnsi="Arial" w:cs="Arial"/>
          <w:szCs w:val="22"/>
        </w:rPr>
        <w:t>2</w:t>
      </w:r>
      <w:r w:rsidR="00E22D1C">
        <w:rPr>
          <w:rFonts w:ascii="Arial" w:hAnsi="Arial" w:cs="Arial"/>
          <w:szCs w:val="22"/>
        </w:rPr>
        <w:t>1</w:t>
      </w:r>
      <w:r w:rsidR="00B76683" w:rsidRPr="00ED10A1">
        <w:rPr>
          <w:rFonts w:ascii="Arial" w:hAnsi="Arial" w:cs="Arial"/>
          <w:szCs w:val="22"/>
        </w:rPr>
        <w:t xml:space="preserve"> году </w:t>
      </w:r>
      <w:r w:rsidR="00E22D1C">
        <w:rPr>
          <w:rFonts w:ascii="Arial" w:hAnsi="Arial" w:cs="Arial"/>
          <w:szCs w:val="22"/>
        </w:rPr>
        <w:t>выросла</w:t>
      </w:r>
      <w:r w:rsidR="00B76683" w:rsidRPr="00ED10A1">
        <w:rPr>
          <w:rFonts w:ascii="Arial" w:hAnsi="Arial" w:cs="Arial"/>
          <w:szCs w:val="22"/>
        </w:rPr>
        <w:t xml:space="preserve"> на </w:t>
      </w:r>
      <w:r w:rsidR="008F7504">
        <w:rPr>
          <w:rFonts w:ascii="Arial" w:hAnsi="Arial" w:cs="Arial"/>
          <w:szCs w:val="22"/>
        </w:rPr>
        <w:t>113</w:t>
      </w:r>
      <w:r w:rsidR="00ED10A1">
        <w:rPr>
          <w:rFonts w:ascii="Arial" w:hAnsi="Arial" w:cs="Arial"/>
          <w:szCs w:val="22"/>
        </w:rPr>
        <w:t>,</w:t>
      </w:r>
      <w:r w:rsidR="008F7504">
        <w:rPr>
          <w:rFonts w:ascii="Arial" w:hAnsi="Arial" w:cs="Arial"/>
          <w:szCs w:val="22"/>
        </w:rPr>
        <w:t>0</w:t>
      </w:r>
      <w:r w:rsidR="00852AF1">
        <w:rPr>
          <w:rFonts w:ascii="Arial" w:hAnsi="Arial" w:cs="Arial"/>
          <w:szCs w:val="22"/>
        </w:rPr>
        <w:t xml:space="preserve">%, </w:t>
      </w:r>
      <w:r w:rsidR="00B76683" w:rsidRPr="00ED10A1">
        <w:rPr>
          <w:rFonts w:ascii="Arial" w:hAnsi="Arial" w:cs="Arial"/>
          <w:szCs w:val="22"/>
        </w:rPr>
        <w:t xml:space="preserve">цена окатышей </w:t>
      </w:r>
      <w:r w:rsidR="00E22D1C">
        <w:rPr>
          <w:rFonts w:ascii="Arial" w:hAnsi="Arial" w:cs="Arial"/>
          <w:szCs w:val="22"/>
        </w:rPr>
        <w:t>выросла</w:t>
      </w:r>
      <w:r w:rsidR="00B76683" w:rsidRPr="00ED10A1">
        <w:rPr>
          <w:rFonts w:ascii="Arial" w:hAnsi="Arial" w:cs="Arial"/>
          <w:szCs w:val="22"/>
        </w:rPr>
        <w:t xml:space="preserve"> на </w:t>
      </w:r>
      <w:r w:rsidR="008F7504">
        <w:rPr>
          <w:rFonts w:ascii="Arial" w:hAnsi="Arial" w:cs="Arial"/>
          <w:szCs w:val="22"/>
        </w:rPr>
        <w:t>83</w:t>
      </w:r>
      <w:r w:rsidR="00B76683" w:rsidRPr="00ED10A1">
        <w:rPr>
          <w:rFonts w:ascii="Arial" w:hAnsi="Arial" w:cs="Arial"/>
          <w:szCs w:val="22"/>
        </w:rPr>
        <w:t>,</w:t>
      </w:r>
      <w:r w:rsidR="008F7504">
        <w:rPr>
          <w:rFonts w:ascii="Arial" w:hAnsi="Arial" w:cs="Arial"/>
          <w:szCs w:val="22"/>
        </w:rPr>
        <w:t>3</w:t>
      </w:r>
      <w:r w:rsidR="00B76683" w:rsidRPr="00ED10A1">
        <w:rPr>
          <w:rFonts w:ascii="Arial" w:hAnsi="Arial" w:cs="Arial"/>
          <w:szCs w:val="22"/>
        </w:rPr>
        <w:t>%</w:t>
      </w:r>
      <w:r w:rsidR="00ED10A1">
        <w:rPr>
          <w:rFonts w:ascii="Arial" w:hAnsi="Arial" w:cs="Arial"/>
          <w:szCs w:val="22"/>
        </w:rPr>
        <w:t xml:space="preserve">, цена марганцевого сырья </w:t>
      </w:r>
      <w:r w:rsidR="00E22D1C">
        <w:rPr>
          <w:rFonts w:ascii="Arial" w:hAnsi="Arial" w:cs="Arial"/>
          <w:szCs w:val="22"/>
        </w:rPr>
        <w:t>выросла</w:t>
      </w:r>
      <w:r w:rsidR="00ED10A1">
        <w:rPr>
          <w:rFonts w:ascii="Arial" w:hAnsi="Arial" w:cs="Arial"/>
          <w:szCs w:val="22"/>
        </w:rPr>
        <w:t xml:space="preserve"> на </w:t>
      </w:r>
      <w:r w:rsidR="008F7504">
        <w:rPr>
          <w:rFonts w:ascii="Arial" w:hAnsi="Arial" w:cs="Arial"/>
          <w:szCs w:val="22"/>
        </w:rPr>
        <w:t>3</w:t>
      </w:r>
      <w:r w:rsidR="00ED10A1">
        <w:rPr>
          <w:rFonts w:ascii="Arial" w:hAnsi="Arial" w:cs="Arial"/>
          <w:szCs w:val="22"/>
        </w:rPr>
        <w:t>,</w:t>
      </w:r>
      <w:r w:rsidR="008F7504">
        <w:rPr>
          <w:rFonts w:ascii="Arial" w:hAnsi="Arial" w:cs="Arial"/>
          <w:szCs w:val="22"/>
        </w:rPr>
        <w:t>5</w:t>
      </w:r>
      <w:r w:rsidR="00ED10A1">
        <w:rPr>
          <w:rFonts w:ascii="Arial" w:hAnsi="Arial" w:cs="Arial"/>
          <w:szCs w:val="22"/>
        </w:rPr>
        <w:t>%.</w:t>
      </w:r>
      <w:r w:rsidR="00B76683" w:rsidRPr="00ED10A1">
        <w:rPr>
          <w:rFonts w:ascii="Arial" w:hAnsi="Arial" w:cs="Arial"/>
          <w:szCs w:val="22"/>
        </w:rPr>
        <w:t>:</w:t>
      </w:r>
    </w:p>
    <w:p w:rsidR="00B76683" w:rsidRPr="00ED10A1" w:rsidRDefault="00B76683" w:rsidP="00B76683">
      <w:pPr>
        <w:ind w:firstLine="708"/>
        <w:jc w:val="both"/>
        <w:rPr>
          <w:rFonts w:ascii="Arial" w:hAnsi="Arial" w:cs="Arial"/>
          <w:szCs w:val="22"/>
        </w:rPr>
      </w:pPr>
    </w:p>
    <w:p w:rsidR="00B76683" w:rsidRPr="00ED10A1" w:rsidRDefault="00B76683" w:rsidP="00B76683">
      <w:pPr>
        <w:numPr>
          <w:ilvl w:val="0"/>
          <w:numId w:val="7"/>
        </w:numPr>
        <w:tabs>
          <w:tab w:val="clear" w:pos="1789"/>
          <w:tab w:val="num" w:pos="1200"/>
        </w:tabs>
        <w:ind w:left="1200" w:hanging="480"/>
        <w:jc w:val="both"/>
        <w:rPr>
          <w:rFonts w:ascii="Arial" w:hAnsi="Arial" w:cs="Arial"/>
          <w:szCs w:val="22"/>
        </w:rPr>
      </w:pPr>
      <w:r w:rsidRPr="00ED10A1">
        <w:rPr>
          <w:rFonts w:ascii="Arial" w:hAnsi="Arial" w:cs="Arial"/>
          <w:szCs w:val="22"/>
        </w:rPr>
        <w:t>средняя цена кокса в 20</w:t>
      </w:r>
      <w:r w:rsidR="00FB74B6" w:rsidRPr="00ED10A1">
        <w:rPr>
          <w:rFonts w:ascii="Arial" w:hAnsi="Arial" w:cs="Arial"/>
          <w:szCs w:val="22"/>
        </w:rPr>
        <w:t>2</w:t>
      </w:r>
      <w:r w:rsidR="00E22D1C">
        <w:rPr>
          <w:rFonts w:ascii="Arial" w:hAnsi="Arial" w:cs="Arial"/>
          <w:szCs w:val="22"/>
        </w:rPr>
        <w:t>1</w:t>
      </w:r>
      <w:r w:rsidR="0079710D" w:rsidRPr="00ED10A1">
        <w:rPr>
          <w:rFonts w:ascii="Arial" w:hAnsi="Arial" w:cs="Arial"/>
          <w:szCs w:val="22"/>
        </w:rPr>
        <w:t xml:space="preserve"> году </w:t>
      </w:r>
      <w:r w:rsidR="0079710D" w:rsidRPr="00ED10A1">
        <w:rPr>
          <w:rFonts w:ascii="Arial" w:hAnsi="Arial" w:cs="Arial"/>
          <w:szCs w:val="22"/>
        </w:rPr>
        <w:tab/>
        <w:t xml:space="preserve"> </w:t>
      </w:r>
      <w:r w:rsidRPr="00ED10A1">
        <w:rPr>
          <w:rFonts w:ascii="Arial" w:hAnsi="Arial" w:cs="Arial"/>
          <w:szCs w:val="22"/>
        </w:rPr>
        <w:t xml:space="preserve">– </w:t>
      </w:r>
      <w:r w:rsidR="00E22D1C">
        <w:rPr>
          <w:rFonts w:ascii="Arial" w:hAnsi="Arial" w:cs="Arial"/>
          <w:szCs w:val="22"/>
        </w:rPr>
        <w:t>25</w:t>
      </w:r>
      <w:r w:rsidRPr="00ED10A1">
        <w:rPr>
          <w:rFonts w:ascii="Arial" w:hAnsi="Arial" w:cs="Arial"/>
          <w:szCs w:val="22"/>
        </w:rPr>
        <w:t xml:space="preserve"> </w:t>
      </w:r>
      <w:r w:rsidR="00E22D1C">
        <w:rPr>
          <w:rFonts w:ascii="Arial" w:hAnsi="Arial" w:cs="Arial"/>
          <w:szCs w:val="22"/>
        </w:rPr>
        <w:t>989</w:t>
      </w:r>
      <w:r w:rsidR="0079710D" w:rsidRPr="00ED10A1">
        <w:rPr>
          <w:rFonts w:ascii="Arial" w:hAnsi="Arial" w:cs="Arial"/>
          <w:szCs w:val="22"/>
        </w:rPr>
        <w:t xml:space="preserve"> руб./т </w:t>
      </w:r>
      <w:r w:rsidRPr="00ED10A1">
        <w:rPr>
          <w:rFonts w:ascii="Arial" w:hAnsi="Arial" w:cs="Arial"/>
          <w:szCs w:val="22"/>
        </w:rPr>
        <w:t>(в 20</w:t>
      </w:r>
      <w:r w:rsidR="00E22D1C">
        <w:rPr>
          <w:rFonts w:ascii="Arial" w:hAnsi="Arial" w:cs="Arial"/>
          <w:szCs w:val="22"/>
        </w:rPr>
        <w:t>20</w:t>
      </w:r>
      <w:r w:rsidRPr="00ED10A1">
        <w:rPr>
          <w:rFonts w:ascii="Arial" w:hAnsi="Arial" w:cs="Arial"/>
          <w:szCs w:val="22"/>
        </w:rPr>
        <w:t xml:space="preserve"> г. – </w:t>
      </w:r>
      <w:r w:rsidR="00E22D1C">
        <w:rPr>
          <w:rFonts w:ascii="Arial" w:hAnsi="Arial" w:cs="Arial"/>
          <w:szCs w:val="22"/>
        </w:rPr>
        <w:t>12</w:t>
      </w:r>
      <w:r w:rsidR="0079710D" w:rsidRPr="00ED10A1">
        <w:rPr>
          <w:rFonts w:ascii="Arial" w:hAnsi="Arial" w:cs="Arial"/>
          <w:szCs w:val="22"/>
        </w:rPr>
        <w:t xml:space="preserve"> </w:t>
      </w:r>
      <w:r w:rsidR="00E22D1C">
        <w:rPr>
          <w:rFonts w:ascii="Arial" w:hAnsi="Arial" w:cs="Arial"/>
          <w:szCs w:val="22"/>
        </w:rPr>
        <w:t>204</w:t>
      </w:r>
      <w:r w:rsidRPr="00ED10A1">
        <w:rPr>
          <w:rFonts w:ascii="Arial" w:hAnsi="Arial" w:cs="Arial"/>
          <w:szCs w:val="22"/>
        </w:rPr>
        <w:t xml:space="preserve">  руб./т);</w:t>
      </w:r>
    </w:p>
    <w:p w:rsidR="00B76683" w:rsidRPr="00ED10A1" w:rsidRDefault="00B76683" w:rsidP="00B76683">
      <w:pPr>
        <w:numPr>
          <w:ilvl w:val="0"/>
          <w:numId w:val="7"/>
        </w:numPr>
        <w:tabs>
          <w:tab w:val="clear" w:pos="1789"/>
          <w:tab w:val="num" w:pos="1200"/>
        </w:tabs>
        <w:ind w:left="1200" w:hanging="480"/>
        <w:jc w:val="both"/>
        <w:rPr>
          <w:rFonts w:ascii="Arial" w:hAnsi="Arial" w:cs="Arial"/>
          <w:szCs w:val="22"/>
        </w:rPr>
      </w:pPr>
      <w:r w:rsidRPr="00ED10A1">
        <w:rPr>
          <w:rFonts w:ascii="Arial" w:hAnsi="Arial" w:cs="Arial"/>
          <w:szCs w:val="22"/>
        </w:rPr>
        <w:t>средняя цена окатышей в 20</w:t>
      </w:r>
      <w:r w:rsidR="00ED10A1" w:rsidRPr="00ED10A1">
        <w:rPr>
          <w:rFonts w:ascii="Arial" w:hAnsi="Arial" w:cs="Arial"/>
          <w:szCs w:val="22"/>
        </w:rPr>
        <w:t>2</w:t>
      </w:r>
      <w:r w:rsidR="00E22D1C">
        <w:rPr>
          <w:rFonts w:ascii="Arial" w:hAnsi="Arial" w:cs="Arial"/>
          <w:szCs w:val="22"/>
        </w:rPr>
        <w:t>1</w:t>
      </w:r>
      <w:r w:rsidR="0079710D" w:rsidRPr="00ED10A1">
        <w:rPr>
          <w:rFonts w:ascii="Arial" w:hAnsi="Arial" w:cs="Arial"/>
          <w:szCs w:val="22"/>
        </w:rPr>
        <w:t xml:space="preserve"> году </w:t>
      </w:r>
      <w:r w:rsidRPr="00ED10A1">
        <w:rPr>
          <w:rFonts w:ascii="Arial" w:hAnsi="Arial" w:cs="Arial"/>
          <w:szCs w:val="22"/>
        </w:rPr>
        <w:t xml:space="preserve">– </w:t>
      </w:r>
      <w:r w:rsidR="00E22D1C">
        <w:rPr>
          <w:rFonts w:ascii="Arial" w:hAnsi="Arial" w:cs="Arial"/>
          <w:szCs w:val="22"/>
        </w:rPr>
        <w:t>12</w:t>
      </w:r>
      <w:r w:rsidRPr="00ED10A1">
        <w:rPr>
          <w:rFonts w:ascii="Arial" w:hAnsi="Arial" w:cs="Arial"/>
          <w:szCs w:val="22"/>
        </w:rPr>
        <w:t xml:space="preserve"> </w:t>
      </w:r>
      <w:r w:rsidR="00E22D1C">
        <w:rPr>
          <w:rFonts w:ascii="Arial" w:hAnsi="Arial" w:cs="Arial"/>
          <w:szCs w:val="22"/>
        </w:rPr>
        <w:t>529</w:t>
      </w:r>
      <w:r w:rsidR="0079710D" w:rsidRPr="00ED10A1">
        <w:rPr>
          <w:rFonts w:ascii="Arial" w:hAnsi="Arial" w:cs="Arial"/>
          <w:szCs w:val="22"/>
        </w:rPr>
        <w:t xml:space="preserve"> руб./т </w:t>
      </w:r>
      <w:r w:rsidRPr="00ED10A1">
        <w:rPr>
          <w:rFonts w:ascii="Arial" w:hAnsi="Arial" w:cs="Arial"/>
          <w:szCs w:val="22"/>
        </w:rPr>
        <w:t>(в 20</w:t>
      </w:r>
      <w:r w:rsidR="00E22D1C">
        <w:rPr>
          <w:rFonts w:ascii="Arial" w:hAnsi="Arial" w:cs="Arial"/>
          <w:szCs w:val="22"/>
        </w:rPr>
        <w:t>20</w:t>
      </w:r>
      <w:r w:rsidRPr="00ED10A1">
        <w:rPr>
          <w:rFonts w:ascii="Arial" w:hAnsi="Arial" w:cs="Arial"/>
          <w:szCs w:val="22"/>
        </w:rPr>
        <w:t xml:space="preserve"> г. – </w:t>
      </w:r>
      <w:r w:rsidR="00E22D1C">
        <w:rPr>
          <w:rFonts w:ascii="Arial" w:hAnsi="Arial" w:cs="Arial"/>
          <w:szCs w:val="22"/>
        </w:rPr>
        <w:t>6</w:t>
      </w:r>
      <w:r w:rsidRPr="00ED10A1">
        <w:rPr>
          <w:rFonts w:ascii="Arial" w:hAnsi="Arial" w:cs="Arial"/>
          <w:szCs w:val="22"/>
        </w:rPr>
        <w:t xml:space="preserve"> </w:t>
      </w:r>
      <w:r w:rsidR="00E22D1C">
        <w:rPr>
          <w:rFonts w:ascii="Arial" w:hAnsi="Arial" w:cs="Arial"/>
          <w:szCs w:val="22"/>
        </w:rPr>
        <w:t>837</w:t>
      </w:r>
      <w:r w:rsidRPr="00ED10A1">
        <w:rPr>
          <w:rFonts w:ascii="Arial" w:hAnsi="Arial" w:cs="Arial"/>
          <w:szCs w:val="22"/>
        </w:rPr>
        <w:t xml:space="preserve">  руб./т)</w:t>
      </w:r>
      <w:r w:rsidR="00F268DD">
        <w:rPr>
          <w:rFonts w:ascii="Arial" w:hAnsi="Arial" w:cs="Arial"/>
          <w:szCs w:val="22"/>
        </w:rPr>
        <w:t>;</w:t>
      </w:r>
    </w:p>
    <w:p w:rsidR="00BE7EFB" w:rsidRPr="00ED10A1" w:rsidRDefault="00BE7EFB" w:rsidP="00B76683">
      <w:pPr>
        <w:numPr>
          <w:ilvl w:val="0"/>
          <w:numId w:val="7"/>
        </w:numPr>
        <w:tabs>
          <w:tab w:val="clear" w:pos="1789"/>
          <w:tab w:val="num" w:pos="1200"/>
        </w:tabs>
        <w:ind w:left="1200" w:hanging="480"/>
        <w:jc w:val="both"/>
        <w:rPr>
          <w:rFonts w:ascii="Arial" w:hAnsi="Arial" w:cs="Arial"/>
          <w:szCs w:val="22"/>
        </w:rPr>
      </w:pPr>
      <w:r w:rsidRPr="00ED10A1">
        <w:rPr>
          <w:rFonts w:ascii="Arial" w:hAnsi="Arial" w:cs="Arial"/>
          <w:szCs w:val="22"/>
        </w:rPr>
        <w:t>средняя цена марганцевого сырья в 202</w:t>
      </w:r>
      <w:r w:rsidR="00E22D1C">
        <w:rPr>
          <w:rFonts w:ascii="Arial" w:hAnsi="Arial" w:cs="Arial"/>
          <w:szCs w:val="22"/>
        </w:rPr>
        <w:t>1</w:t>
      </w:r>
      <w:r w:rsidRPr="00ED10A1">
        <w:rPr>
          <w:rFonts w:ascii="Arial" w:hAnsi="Arial" w:cs="Arial"/>
          <w:szCs w:val="22"/>
        </w:rPr>
        <w:t xml:space="preserve"> году – 14 </w:t>
      </w:r>
      <w:r w:rsidR="00E22D1C">
        <w:rPr>
          <w:rFonts w:ascii="Arial" w:hAnsi="Arial" w:cs="Arial"/>
          <w:szCs w:val="22"/>
        </w:rPr>
        <w:t>946</w:t>
      </w:r>
      <w:r w:rsidRPr="00ED10A1">
        <w:rPr>
          <w:rFonts w:ascii="Arial" w:hAnsi="Arial" w:cs="Arial"/>
          <w:szCs w:val="22"/>
        </w:rPr>
        <w:t xml:space="preserve"> руб./т (в 20</w:t>
      </w:r>
      <w:r w:rsidR="00E22D1C">
        <w:rPr>
          <w:rFonts w:ascii="Arial" w:hAnsi="Arial" w:cs="Arial"/>
          <w:szCs w:val="22"/>
        </w:rPr>
        <w:t>20</w:t>
      </w:r>
      <w:r w:rsidRPr="00ED10A1">
        <w:rPr>
          <w:rFonts w:ascii="Arial" w:hAnsi="Arial" w:cs="Arial"/>
          <w:szCs w:val="22"/>
        </w:rPr>
        <w:t xml:space="preserve"> году – 1</w:t>
      </w:r>
      <w:r w:rsidR="00E22D1C">
        <w:rPr>
          <w:rFonts w:ascii="Arial" w:hAnsi="Arial" w:cs="Arial"/>
          <w:szCs w:val="22"/>
        </w:rPr>
        <w:t>4</w:t>
      </w:r>
      <w:r w:rsidRPr="00ED10A1">
        <w:rPr>
          <w:rFonts w:ascii="Arial" w:hAnsi="Arial" w:cs="Arial"/>
          <w:szCs w:val="22"/>
        </w:rPr>
        <w:t> </w:t>
      </w:r>
      <w:r w:rsidR="00E22D1C">
        <w:rPr>
          <w:rFonts w:ascii="Arial" w:hAnsi="Arial" w:cs="Arial"/>
          <w:szCs w:val="22"/>
        </w:rPr>
        <w:t>444</w:t>
      </w:r>
      <w:r w:rsidRPr="00ED10A1">
        <w:rPr>
          <w:rFonts w:ascii="Arial" w:hAnsi="Arial" w:cs="Arial"/>
          <w:szCs w:val="22"/>
        </w:rPr>
        <w:t xml:space="preserve"> руб./т)</w:t>
      </w:r>
      <w:r w:rsidR="00F268DD">
        <w:rPr>
          <w:rFonts w:ascii="Arial" w:hAnsi="Arial" w:cs="Arial"/>
          <w:szCs w:val="22"/>
        </w:rPr>
        <w:t>.</w:t>
      </w:r>
    </w:p>
    <w:p w:rsidR="00B76683" w:rsidRPr="00B64B3A" w:rsidRDefault="00B76683" w:rsidP="00B76683">
      <w:pPr>
        <w:ind w:firstLine="708"/>
        <w:jc w:val="both"/>
        <w:rPr>
          <w:rFonts w:ascii="Arial" w:hAnsi="Arial" w:cs="Arial"/>
          <w:szCs w:val="22"/>
          <w:highlight w:val="yellow"/>
        </w:rPr>
      </w:pPr>
    </w:p>
    <w:p w:rsidR="00B76683" w:rsidRPr="00ED10A1" w:rsidRDefault="00B76683" w:rsidP="00B76683">
      <w:pPr>
        <w:ind w:firstLine="709"/>
        <w:jc w:val="both"/>
        <w:rPr>
          <w:rFonts w:ascii="Arial" w:hAnsi="Arial" w:cs="Arial"/>
          <w:bCs/>
          <w:szCs w:val="22"/>
        </w:rPr>
      </w:pPr>
      <w:r w:rsidRPr="00ED10A1">
        <w:rPr>
          <w:rFonts w:ascii="Arial" w:hAnsi="Arial" w:cs="Arial"/>
          <w:bCs/>
          <w:szCs w:val="22"/>
        </w:rPr>
        <w:t xml:space="preserve">Динамика средних цен на сырье на базисе </w:t>
      </w:r>
      <w:r w:rsidRPr="00ED10A1">
        <w:rPr>
          <w:rFonts w:ascii="Arial" w:hAnsi="Arial" w:cs="Arial"/>
          <w:bCs/>
          <w:szCs w:val="22"/>
          <w:lang w:val="en-US"/>
        </w:rPr>
        <w:t>CPT</w:t>
      </w:r>
      <w:r w:rsidRPr="00ED10A1">
        <w:rPr>
          <w:rFonts w:ascii="Arial" w:hAnsi="Arial" w:cs="Arial"/>
          <w:bCs/>
          <w:szCs w:val="22"/>
        </w:rPr>
        <w:t xml:space="preserve"> ст. Ясная Поляна представлена в следующей таблице.</w:t>
      </w:r>
    </w:p>
    <w:p w:rsidR="002D6042" w:rsidRPr="00ED10A1" w:rsidRDefault="002D6042" w:rsidP="00B76683">
      <w:pPr>
        <w:ind w:firstLine="709"/>
        <w:jc w:val="center"/>
        <w:rPr>
          <w:rFonts w:ascii="Arial" w:hAnsi="Arial" w:cs="Arial"/>
          <w:bCs/>
          <w:i/>
          <w:szCs w:val="22"/>
        </w:rPr>
      </w:pPr>
    </w:p>
    <w:p w:rsidR="00B76683" w:rsidRDefault="00B76683" w:rsidP="00B76683">
      <w:pPr>
        <w:ind w:firstLine="709"/>
        <w:jc w:val="center"/>
        <w:rPr>
          <w:rFonts w:ascii="Arial" w:hAnsi="Arial" w:cs="Arial"/>
          <w:bCs/>
          <w:i/>
          <w:szCs w:val="22"/>
        </w:rPr>
      </w:pPr>
      <w:r w:rsidRPr="00ED10A1">
        <w:rPr>
          <w:rFonts w:ascii="Arial" w:hAnsi="Arial" w:cs="Arial"/>
          <w:bCs/>
          <w:i/>
          <w:szCs w:val="22"/>
        </w:rPr>
        <w:t xml:space="preserve">Таблица </w:t>
      </w:r>
      <w:r w:rsidR="006B7CE0">
        <w:rPr>
          <w:rFonts w:ascii="Arial" w:hAnsi="Arial" w:cs="Arial"/>
          <w:bCs/>
          <w:i/>
          <w:szCs w:val="22"/>
        </w:rPr>
        <w:t>8</w:t>
      </w:r>
      <w:r w:rsidRPr="00ED10A1">
        <w:rPr>
          <w:rFonts w:ascii="Arial" w:hAnsi="Arial" w:cs="Arial"/>
          <w:bCs/>
          <w:i/>
          <w:szCs w:val="22"/>
        </w:rPr>
        <w:t>. Динамика цен на сырье в течение 20</w:t>
      </w:r>
      <w:r w:rsidR="00ED10A1" w:rsidRPr="00ED10A1">
        <w:rPr>
          <w:rFonts w:ascii="Arial" w:hAnsi="Arial" w:cs="Arial"/>
          <w:bCs/>
          <w:i/>
          <w:szCs w:val="22"/>
        </w:rPr>
        <w:t>2</w:t>
      </w:r>
      <w:r w:rsidR="00D2522B">
        <w:rPr>
          <w:rFonts w:ascii="Arial" w:hAnsi="Arial" w:cs="Arial"/>
          <w:bCs/>
          <w:i/>
          <w:szCs w:val="22"/>
        </w:rPr>
        <w:t>1</w:t>
      </w:r>
      <w:r w:rsidRPr="00ED10A1">
        <w:rPr>
          <w:rFonts w:ascii="Arial" w:hAnsi="Arial" w:cs="Arial"/>
          <w:bCs/>
          <w:i/>
          <w:szCs w:val="22"/>
        </w:rPr>
        <w:t xml:space="preserve"> года (в рублях)</w:t>
      </w:r>
    </w:p>
    <w:tbl>
      <w:tblPr>
        <w:tblW w:w="8280" w:type="dxa"/>
        <w:jc w:val="center"/>
        <w:tblLook w:val="04A0"/>
      </w:tblPr>
      <w:tblGrid>
        <w:gridCol w:w="2040"/>
        <w:gridCol w:w="1560"/>
        <w:gridCol w:w="1560"/>
        <w:gridCol w:w="1560"/>
        <w:gridCol w:w="1560"/>
      </w:tblGrid>
      <w:tr w:rsidR="00D2522B" w:rsidRPr="00D2522B" w:rsidTr="00D2522B">
        <w:trPr>
          <w:trHeight w:val="315"/>
          <w:jc w:val="center"/>
        </w:trPr>
        <w:tc>
          <w:tcPr>
            <w:tcW w:w="2040" w:type="dxa"/>
            <w:tcBorders>
              <w:top w:val="single" w:sz="8" w:space="0" w:color="auto"/>
              <w:left w:val="single" w:sz="8" w:space="0" w:color="auto"/>
              <w:bottom w:val="single" w:sz="8" w:space="0" w:color="auto"/>
              <w:right w:val="nil"/>
            </w:tcBorders>
            <w:shd w:val="clear" w:color="000000" w:fill="C6D9F1"/>
            <w:vAlign w:val="center"/>
            <w:hideMark/>
          </w:tcPr>
          <w:p w:rsidR="00D2522B" w:rsidRPr="00D2522B" w:rsidRDefault="00D2522B" w:rsidP="00D2522B">
            <w:pPr>
              <w:rPr>
                <w:rFonts w:ascii="Arial" w:hAnsi="Arial" w:cs="Arial"/>
                <w:b/>
                <w:bCs/>
                <w:color w:val="000000"/>
              </w:rPr>
            </w:pPr>
            <w:r w:rsidRPr="00D2522B">
              <w:rPr>
                <w:rFonts w:ascii="Arial" w:hAnsi="Arial" w:cs="Arial"/>
                <w:b/>
                <w:bCs/>
                <w:color w:val="000000"/>
                <w:sz w:val="22"/>
                <w:szCs w:val="22"/>
              </w:rPr>
              <w:t>Сырье</w:t>
            </w:r>
          </w:p>
        </w:tc>
        <w:tc>
          <w:tcPr>
            <w:tcW w:w="1560" w:type="dxa"/>
            <w:tcBorders>
              <w:top w:val="single" w:sz="8" w:space="0" w:color="auto"/>
              <w:left w:val="nil"/>
              <w:bottom w:val="single" w:sz="8" w:space="0" w:color="auto"/>
              <w:right w:val="nil"/>
            </w:tcBorders>
            <w:shd w:val="clear" w:color="000000" w:fill="C6D9F1"/>
            <w:vAlign w:val="center"/>
            <w:hideMark/>
          </w:tcPr>
          <w:p w:rsidR="00D2522B" w:rsidRPr="00D2522B" w:rsidRDefault="00D2522B" w:rsidP="00D2522B">
            <w:pPr>
              <w:jc w:val="center"/>
              <w:rPr>
                <w:rFonts w:ascii="Arial" w:hAnsi="Arial" w:cs="Arial"/>
                <w:b/>
                <w:bCs/>
                <w:color w:val="000000"/>
              </w:rPr>
            </w:pPr>
            <w:r w:rsidRPr="00D2522B">
              <w:rPr>
                <w:rFonts w:ascii="Arial" w:hAnsi="Arial" w:cs="Arial"/>
                <w:b/>
                <w:bCs/>
                <w:color w:val="000000"/>
                <w:sz w:val="22"/>
                <w:szCs w:val="22"/>
              </w:rPr>
              <w:t>1 кв. 2021</w:t>
            </w:r>
          </w:p>
        </w:tc>
        <w:tc>
          <w:tcPr>
            <w:tcW w:w="1560" w:type="dxa"/>
            <w:tcBorders>
              <w:top w:val="single" w:sz="8" w:space="0" w:color="auto"/>
              <w:left w:val="nil"/>
              <w:bottom w:val="single" w:sz="8" w:space="0" w:color="auto"/>
              <w:right w:val="nil"/>
            </w:tcBorders>
            <w:shd w:val="clear" w:color="000000" w:fill="C6D9F1"/>
            <w:vAlign w:val="center"/>
            <w:hideMark/>
          </w:tcPr>
          <w:p w:rsidR="00D2522B" w:rsidRPr="00D2522B" w:rsidRDefault="00D2522B" w:rsidP="00D2522B">
            <w:pPr>
              <w:jc w:val="center"/>
              <w:rPr>
                <w:rFonts w:ascii="Arial" w:hAnsi="Arial" w:cs="Arial"/>
                <w:b/>
                <w:bCs/>
                <w:color w:val="000000"/>
              </w:rPr>
            </w:pPr>
            <w:r w:rsidRPr="00D2522B">
              <w:rPr>
                <w:rFonts w:ascii="Arial" w:hAnsi="Arial" w:cs="Arial"/>
                <w:b/>
                <w:bCs/>
                <w:color w:val="000000"/>
                <w:sz w:val="22"/>
                <w:szCs w:val="22"/>
              </w:rPr>
              <w:t>2 кв. 2021</w:t>
            </w:r>
          </w:p>
        </w:tc>
        <w:tc>
          <w:tcPr>
            <w:tcW w:w="1560" w:type="dxa"/>
            <w:tcBorders>
              <w:top w:val="single" w:sz="8" w:space="0" w:color="auto"/>
              <w:left w:val="nil"/>
              <w:bottom w:val="single" w:sz="8" w:space="0" w:color="auto"/>
              <w:right w:val="nil"/>
            </w:tcBorders>
            <w:shd w:val="clear" w:color="000000" w:fill="C6D9F1"/>
            <w:vAlign w:val="center"/>
            <w:hideMark/>
          </w:tcPr>
          <w:p w:rsidR="00D2522B" w:rsidRPr="00D2522B" w:rsidRDefault="00D2522B" w:rsidP="00D2522B">
            <w:pPr>
              <w:jc w:val="center"/>
              <w:rPr>
                <w:rFonts w:ascii="Arial" w:hAnsi="Arial" w:cs="Arial"/>
                <w:b/>
                <w:bCs/>
                <w:color w:val="000000"/>
              </w:rPr>
            </w:pPr>
            <w:r w:rsidRPr="00D2522B">
              <w:rPr>
                <w:rFonts w:ascii="Arial" w:hAnsi="Arial" w:cs="Arial"/>
                <w:b/>
                <w:bCs/>
                <w:color w:val="000000"/>
                <w:sz w:val="22"/>
                <w:szCs w:val="22"/>
              </w:rPr>
              <w:t>3 кв. 2021</w:t>
            </w:r>
          </w:p>
        </w:tc>
        <w:tc>
          <w:tcPr>
            <w:tcW w:w="1560" w:type="dxa"/>
            <w:tcBorders>
              <w:top w:val="single" w:sz="8" w:space="0" w:color="auto"/>
              <w:left w:val="nil"/>
              <w:bottom w:val="single" w:sz="8" w:space="0" w:color="auto"/>
              <w:right w:val="single" w:sz="8" w:space="0" w:color="auto"/>
            </w:tcBorders>
            <w:shd w:val="clear" w:color="000000" w:fill="C6D9F1"/>
            <w:vAlign w:val="center"/>
            <w:hideMark/>
          </w:tcPr>
          <w:p w:rsidR="00D2522B" w:rsidRPr="00D2522B" w:rsidRDefault="00D2522B" w:rsidP="00D2522B">
            <w:pPr>
              <w:jc w:val="center"/>
              <w:rPr>
                <w:rFonts w:ascii="Arial" w:hAnsi="Arial" w:cs="Arial"/>
                <w:b/>
                <w:bCs/>
                <w:color w:val="000000"/>
              </w:rPr>
            </w:pPr>
            <w:r w:rsidRPr="00D2522B">
              <w:rPr>
                <w:rFonts w:ascii="Arial" w:hAnsi="Arial" w:cs="Arial"/>
                <w:b/>
                <w:bCs/>
                <w:color w:val="000000"/>
                <w:sz w:val="22"/>
                <w:szCs w:val="22"/>
              </w:rPr>
              <w:t>4 кв. 2021</w:t>
            </w:r>
          </w:p>
        </w:tc>
      </w:tr>
      <w:tr w:rsidR="00D2522B" w:rsidRPr="00D2522B" w:rsidTr="00D2522B">
        <w:trPr>
          <w:trHeight w:val="315"/>
          <w:jc w:val="center"/>
        </w:trPr>
        <w:tc>
          <w:tcPr>
            <w:tcW w:w="2040" w:type="dxa"/>
            <w:tcBorders>
              <w:top w:val="nil"/>
              <w:left w:val="single" w:sz="8" w:space="0" w:color="auto"/>
              <w:bottom w:val="single" w:sz="8" w:space="0" w:color="auto"/>
              <w:right w:val="nil"/>
            </w:tcBorders>
            <w:shd w:val="clear" w:color="auto" w:fill="auto"/>
            <w:vAlign w:val="center"/>
            <w:hideMark/>
          </w:tcPr>
          <w:p w:rsidR="00D2522B" w:rsidRPr="00D2522B" w:rsidRDefault="00D2522B" w:rsidP="00D2522B">
            <w:pPr>
              <w:rPr>
                <w:rFonts w:ascii="Arial" w:hAnsi="Arial" w:cs="Arial"/>
                <w:b/>
                <w:bCs/>
                <w:color w:val="000000"/>
              </w:rPr>
            </w:pPr>
            <w:r w:rsidRPr="00D2522B">
              <w:rPr>
                <w:rFonts w:ascii="Arial" w:hAnsi="Arial" w:cs="Arial"/>
                <w:b/>
                <w:bCs/>
                <w:color w:val="000000"/>
                <w:sz w:val="22"/>
                <w:szCs w:val="22"/>
              </w:rPr>
              <w:t>Окатыши</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10 669,96</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14 616,59</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16 787,82</w:t>
            </w:r>
          </w:p>
        </w:tc>
        <w:tc>
          <w:tcPr>
            <w:tcW w:w="1560" w:type="dxa"/>
            <w:tcBorders>
              <w:top w:val="nil"/>
              <w:left w:val="nil"/>
              <w:bottom w:val="single" w:sz="8" w:space="0" w:color="auto"/>
              <w:right w:val="single" w:sz="8" w:space="0" w:color="auto"/>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9 619,95</w:t>
            </w:r>
          </w:p>
        </w:tc>
      </w:tr>
      <w:tr w:rsidR="00D2522B" w:rsidRPr="00D2522B" w:rsidTr="00D2522B">
        <w:trPr>
          <w:trHeight w:val="615"/>
          <w:jc w:val="center"/>
        </w:trPr>
        <w:tc>
          <w:tcPr>
            <w:tcW w:w="2040" w:type="dxa"/>
            <w:tcBorders>
              <w:top w:val="nil"/>
              <w:left w:val="single" w:sz="8" w:space="0" w:color="auto"/>
              <w:bottom w:val="single" w:sz="8" w:space="0" w:color="auto"/>
              <w:right w:val="nil"/>
            </w:tcBorders>
            <w:shd w:val="clear" w:color="auto" w:fill="auto"/>
            <w:vAlign w:val="center"/>
            <w:hideMark/>
          </w:tcPr>
          <w:p w:rsidR="00D2522B" w:rsidRPr="00D2522B" w:rsidRDefault="00D2522B" w:rsidP="00D2522B">
            <w:pPr>
              <w:rPr>
                <w:rFonts w:ascii="Arial" w:hAnsi="Arial" w:cs="Arial"/>
                <w:b/>
                <w:bCs/>
                <w:color w:val="000000"/>
              </w:rPr>
            </w:pPr>
            <w:r w:rsidRPr="00D2522B">
              <w:rPr>
                <w:rFonts w:ascii="Arial" w:hAnsi="Arial" w:cs="Arial"/>
                <w:b/>
                <w:bCs/>
                <w:color w:val="000000"/>
                <w:sz w:val="22"/>
                <w:szCs w:val="22"/>
              </w:rPr>
              <w:t>Марганцевая руда</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13 509,33</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15 787,45</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15 144,06</w:t>
            </w:r>
          </w:p>
        </w:tc>
        <w:tc>
          <w:tcPr>
            <w:tcW w:w="1560" w:type="dxa"/>
            <w:tcBorders>
              <w:top w:val="nil"/>
              <w:left w:val="nil"/>
              <w:bottom w:val="single" w:sz="8" w:space="0" w:color="auto"/>
              <w:right w:val="single" w:sz="8" w:space="0" w:color="auto"/>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14 887,80</w:t>
            </w:r>
          </w:p>
        </w:tc>
      </w:tr>
      <w:tr w:rsidR="00D2522B" w:rsidRPr="00D2522B" w:rsidTr="00D2522B">
        <w:trPr>
          <w:trHeight w:val="315"/>
          <w:jc w:val="center"/>
        </w:trPr>
        <w:tc>
          <w:tcPr>
            <w:tcW w:w="2040" w:type="dxa"/>
            <w:tcBorders>
              <w:top w:val="nil"/>
              <w:left w:val="single" w:sz="8" w:space="0" w:color="auto"/>
              <w:bottom w:val="single" w:sz="8" w:space="0" w:color="auto"/>
              <w:right w:val="nil"/>
            </w:tcBorders>
            <w:shd w:val="clear" w:color="auto" w:fill="auto"/>
            <w:vAlign w:val="center"/>
            <w:hideMark/>
          </w:tcPr>
          <w:p w:rsidR="00D2522B" w:rsidRPr="00D2522B" w:rsidRDefault="00D2522B" w:rsidP="00D2522B">
            <w:pPr>
              <w:rPr>
                <w:rFonts w:ascii="Arial" w:hAnsi="Arial" w:cs="Arial"/>
                <w:b/>
                <w:bCs/>
                <w:color w:val="000000"/>
              </w:rPr>
            </w:pPr>
            <w:r w:rsidRPr="00D2522B">
              <w:rPr>
                <w:rFonts w:ascii="Arial" w:hAnsi="Arial" w:cs="Arial"/>
                <w:b/>
                <w:bCs/>
                <w:color w:val="000000"/>
                <w:sz w:val="22"/>
                <w:szCs w:val="22"/>
              </w:rPr>
              <w:t>Кокс</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19 550,81</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23 713,02</w:t>
            </w:r>
          </w:p>
        </w:tc>
        <w:tc>
          <w:tcPr>
            <w:tcW w:w="1560" w:type="dxa"/>
            <w:tcBorders>
              <w:top w:val="nil"/>
              <w:left w:val="nil"/>
              <w:bottom w:val="single" w:sz="8" w:space="0" w:color="auto"/>
              <w:right w:val="nil"/>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27 320,82</w:t>
            </w:r>
          </w:p>
        </w:tc>
        <w:tc>
          <w:tcPr>
            <w:tcW w:w="1560" w:type="dxa"/>
            <w:tcBorders>
              <w:top w:val="nil"/>
              <w:left w:val="nil"/>
              <w:bottom w:val="single" w:sz="8" w:space="0" w:color="auto"/>
              <w:right w:val="single" w:sz="8" w:space="0" w:color="auto"/>
            </w:tcBorders>
            <w:shd w:val="clear" w:color="auto" w:fill="auto"/>
            <w:vAlign w:val="center"/>
            <w:hideMark/>
          </w:tcPr>
          <w:p w:rsidR="00D2522B" w:rsidRPr="00D2522B" w:rsidRDefault="00D2522B" w:rsidP="00D2522B">
            <w:pPr>
              <w:jc w:val="center"/>
              <w:rPr>
                <w:rFonts w:ascii="Arial" w:hAnsi="Arial" w:cs="Arial"/>
              </w:rPr>
            </w:pPr>
            <w:r w:rsidRPr="00D2522B">
              <w:rPr>
                <w:rFonts w:ascii="Arial" w:hAnsi="Arial" w:cs="Arial"/>
              </w:rPr>
              <w:t>35 328,20</w:t>
            </w:r>
          </w:p>
        </w:tc>
      </w:tr>
    </w:tbl>
    <w:p w:rsidR="00D2522B" w:rsidRDefault="00D2522B" w:rsidP="00B76683">
      <w:pPr>
        <w:ind w:firstLine="709"/>
        <w:jc w:val="center"/>
        <w:rPr>
          <w:rFonts w:ascii="Arial" w:hAnsi="Arial" w:cs="Arial"/>
          <w:bCs/>
          <w:i/>
          <w:szCs w:val="22"/>
        </w:rPr>
      </w:pPr>
    </w:p>
    <w:p w:rsidR="00B76683" w:rsidRDefault="00B76683" w:rsidP="00B76683">
      <w:pPr>
        <w:spacing w:after="200"/>
        <w:jc w:val="center"/>
        <w:rPr>
          <w:rFonts w:ascii="Arial" w:hAnsi="Arial" w:cs="Arial"/>
          <w:i/>
          <w:szCs w:val="22"/>
        </w:rPr>
      </w:pPr>
      <w:r w:rsidRPr="000A2DDA">
        <w:rPr>
          <w:rFonts w:ascii="Arial" w:hAnsi="Arial" w:cs="Arial"/>
          <w:i/>
          <w:szCs w:val="22"/>
        </w:rPr>
        <w:t xml:space="preserve">Рисунок </w:t>
      </w:r>
      <w:r w:rsidR="007D1D1D">
        <w:rPr>
          <w:rFonts w:ascii="Arial" w:hAnsi="Arial" w:cs="Arial"/>
          <w:i/>
          <w:szCs w:val="22"/>
        </w:rPr>
        <w:t>5</w:t>
      </w:r>
      <w:r w:rsidRPr="000A2DDA">
        <w:rPr>
          <w:rFonts w:ascii="Arial" w:hAnsi="Arial" w:cs="Arial"/>
          <w:i/>
          <w:szCs w:val="22"/>
        </w:rPr>
        <w:t>. Динамика цен на сырье в 20</w:t>
      </w:r>
      <w:r w:rsidR="003F459F">
        <w:rPr>
          <w:rFonts w:ascii="Arial" w:hAnsi="Arial" w:cs="Arial"/>
          <w:i/>
          <w:szCs w:val="22"/>
        </w:rPr>
        <w:t>2</w:t>
      </w:r>
      <w:r w:rsidR="00D2522B">
        <w:rPr>
          <w:rFonts w:ascii="Arial" w:hAnsi="Arial" w:cs="Arial"/>
          <w:i/>
          <w:szCs w:val="22"/>
        </w:rPr>
        <w:t>1</w:t>
      </w:r>
      <w:r w:rsidRPr="000A2DDA">
        <w:rPr>
          <w:rFonts w:ascii="Arial" w:hAnsi="Arial" w:cs="Arial"/>
          <w:i/>
          <w:szCs w:val="22"/>
        </w:rPr>
        <w:t xml:space="preserve"> году</w:t>
      </w:r>
    </w:p>
    <w:p w:rsidR="00D2522B" w:rsidRDefault="00D80C0A" w:rsidP="00B76683">
      <w:pPr>
        <w:spacing w:after="200"/>
        <w:jc w:val="center"/>
        <w:rPr>
          <w:rFonts w:ascii="Arial" w:hAnsi="Arial" w:cs="Arial"/>
          <w:i/>
          <w:szCs w:val="22"/>
        </w:rPr>
      </w:pPr>
      <w:r>
        <w:rPr>
          <w:noProof/>
        </w:rPr>
        <w:lastRenderedPageBreak/>
        <w:drawing>
          <wp:inline distT="0" distB="0" distL="0" distR="0">
            <wp:extent cx="5076825" cy="309562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76683" w:rsidRPr="002D10DA" w:rsidRDefault="00B76683" w:rsidP="00B76683">
      <w:pPr>
        <w:ind w:firstLine="708"/>
        <w:jc w:val="both"/>
        <w:rPr>
          <w:rFonts w:ascii="Arial" w:hAnsi="Arial" w:cs="Arial"/>
          <w:szCs w:val="22"/>
        </w:rPr>
      </w:pPr>
      <w:r w:rsidRPr="002D10DA">
        <w:rPr>
          <w:rFonts w:ascii="Arial" w:hAnsi="Arial" w:cs="Arial"/>
          <w:szCs w:val="22"/>
        </w:rPr>
        <w:t>Величина общехозяйственных расходов составила в 20</w:t>
      </w:r>
      <w:r w:rsidR="00B64B3A" w:rsidRPr="002D10DA">
        <w:rPr>
          <w:rFonts w:ascii="Arial" w:hAnsi="Arial" w:cs="Arial"/>
          <w:szCs w:val="22"/>
        </w:rPr>
        <w:t>2</w:t>
      </w:r>
      <w:r w:rsidR="002D10DA" w:rsidRPr="002D10DA">
        <w:rPr>
          <w:rFonts w:ascii="Arial" w:hAnsi="Arial" w:cs="Arial"/>
          <w:szCs w:val="22"/>
        </w:rPr>
        <w:t>1</w:t>
      </w:r>
      <w:r w:rsidRPr="002D10DA">
        <w:rPr>
          <w:rFonts w:ascii="Arial" w:hAnsi="Arial" w:cs="Arial"/>
          <w:szCs w:val="22"/>
        </w:rPr>
        <w:t xml:space="preserve"> году </w:t>
      </w:r>
      <w:r w:rsidR="002D10DA" w:rsidRPr="002D10DA">
        <w:rPr>
          <w:rFonts w:ascii="Arial" w:hAnsi="Arial" w:cs="Arial"/>
          <w:szCs w:val="22"/>
        </w:rPr>
        <w:t>384</w:t>
      </w:r>
      <w:r w:rsidR="00551547" w:rsidRPr="002D10DA">
        <w:rPr>
          <w:rFonts w:ascii="Arial" w:hAnsi="Arial" w:cs="Arial"/>
          <w:szCs w:val="22"/>
        </w:rPr>
        <w:t>,</w:t>
      </w:r>
      <w:r w:rsidR="002D10DA" w:rsidRPr="002D10DA">
        <w:rPr>
          <w:rFonts w:ascii="Arial" w:hAnsi="Arial" w:cs="Arial"/>
          <w:szCs w:val="22"/>
        </w:rPr>
        <w:t>7</w:t>
      </w:r>
      <w:r w:rsidRPr="002D10DA">
        <w:rPr>
          <w:rFonts w:ascii="Arial" w:hAnsi="Arial" w:cs="Arial"/>
          <w:szCs w:val="22"/>
        </w:rPr>
        <w:t xml:space="preserve"> млн. руб., в т.ч.:</w:t>
      </w:r>
    </w:p>
    <w:tbl>
      <w:tblPr>
        <w:tblW w:w="0" w:type="auto"/>
        <w:tblInd w:w="828" w:type="dxa"/>
        <w:tblLook w:val="01E0"/>
      </w:tblPr>
      <w:tblGrid>
        <w:gridCol w:w="6120"/>
        <w:gridCol w:w="2760"/>
      </w:tblGrid>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заработная плата подразделений, не связанных</w:t>
            </w:r>
          </w:p>
          <w:p w:rsidR="00B76683" w:rsidRPr="002D10DA" w:rsidRDefault="00B76683" w:rsidP="002D10DA">
            <w:pPr>
              <w:rPr>
                <w:rFonts w:ascii="Arial" w:hAnsi="Arial" w:cs="Arial"/>
                <w:sz w:val="28"/>
              </w:rPr>
            </w:pPr>
            <w:r w:rsidRPr="002D10DA">
              <w:rPr>
                <w:rFonts w:ascii="Arial" w:hAnsi="Arial" w:cs="Arial"/>
                <w:szCs w:val="22"/>
              </w:rPr>
              <w:t>с производством готовой продукции (с ЕСН)</w:t>
            </w:r>
          </w:p>
        </w:tc>
        <w:tc>
          <w:tcPr>
            <w:tcW w:w="2760" w:type="dxa"/>
            <w:vAlign w:val="center"/>
          </w:tcPr>
          <w:p w:rsidR="00B76683" w:rsidRPr="002D10DA" w:rsidRDefault="002D10DA" w:rsidP="002D10DA">
            <w:pPr>
              <w:jc w:val="center"/>
              <w:rPr>
                <w:rFonts w:ascii="Arial" w:hAnsi="Arial" w:cs="Arial"/>
                <w:sz w:val="28"/>
              </w:rPr>
            </w:pPr>
            <w:r w:rsidRPr="002D10DA">
              <w:rPr>
                <w:rFonts w:ascii="Arial" w:hAnsi="Arial" w:cs="Arial"/>
                <w:szCs w:val="22"/>
              </w:rPr>
              <w:t>332</w:t>
            </w:r>
            <w:r w:rsidR="00B76683" w:rsidRPr="002D10DA">
              <w:rPr>
                <w:rFonts w:ascii="Arial" w:hAnsi="Arial" w:cs="Arial"/>
                <w:szCs w:val="22"/>
              </w:rPr>
              <w:t>,</w:t>
            </w:r>
            <w:r w:rsidR="00B64B3A" w:rsidRPr="002D10DA">
              <w:rPr>
                <w:rFonts w:ascii="Arial" w:hAnsi="Arial" w:cs="Arial"/>
                <w:szCs w:val="22"/>
              </w:rPr>
              <w:t>6</w:t>
            </w:r>
            <w:r w:rsidR="00B76683" w:rsidRPr="002D10DA">
              <w:rPr>
                <w:rFonts w:ascii="Arial" w:hAnsi="Arial" w:cs="Arial"/>
                <w:szCs w:val="22"/>
              </w:rPr>
              <w:t xml:space="preserve"> млн. руб. (</w:t>
            </w:r>
            <w:r w:rsidR="00551547" w:rsidRPr="002D10DA">
              <w:rPr>
                <w:rFonts w:ascii="Arial" w:hAnsi="Arial" w:cs="Arial"/>
                <w:szCs w:val="22"/>
              </w:rPr>
              <w:t>8</w:t>
            </w:r>
            <w:r w:rsidRPr="002D10DA">
              <w:rPr>
                <w:rFonts w:ascii="Arial" w:hAnsi="Arial" w:cs="Arial"/>
                <w:szCs w:val="22"/>
              </w:rPr>
              <w:t>6</w:t>
            </w:r>
            <w:r w:rsidR="00B76683" w:rsidRPr="002D10DA">
              <w:rPr>
                <w:rFonts w:ascii="Arial" w:hAnsi="Arial" w:cs="Arial"/>
                <w:szCs w:val="22"/>
              </w:rPr>
              <w:t>,</w:t>
            </w:r>
            <w:r w:rsidRPr="002D10DA">
              <w:rPr>
                <w:rFonts w:ascii="Arial" w:hAnsi="Arial" w:cs="Arial"/>
                <w:szCs w:val="22"/>
              </w:rPr>
              <w:t>5</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налог на землю</w:t>
            </w:r>
          </w:p>
        </w:tc>
        <w:tc>
          <w:tcPr>
            <w:tcW w:w="2760" w:type="dxa"/>
            <w:vAlign w:val="center"/>
          </w:tcPr>
          <w:p w:rsidR="00B76683" w:rsidRPr="002D10DA" w:rsidRDefault="002D10DA" w:rsidP="002D10DA">
            <w:pPr>
              <w:jc w:val="center"/>
              <w:rPr>
                <w:rFonts w:ascii="Arial" w:hAnsi="Arial" w:cs="Arial"/>
                <w:sz w:val="28"/>
              </w:rPr>
            </w:pPr>
            <w:r w:rsidRPr="002D10DA">
              <w:rPr>
                <w:rFonts w:ascii="Arial" w:hAnsi="Arial" w:cs="Arial"/>
                <w:szCs w:val="22"/>
              </w:rPr>
              <w:t>12</w:t>
            </w:r>
            <w:r w:rsidR="00B76683" w:rsidRPr="002D10DA">
              <w:rPr>
                <w:rFonts w:ascii="Arial" w:hAnsi="Arial" w:cs="Arial"/>
                <w:szCs w:val="22"/>
              </w:rPr>
              <w:t>,</w:t>
            </w:r>
            <w:r w:rsidRPr="002D10DA">
              <w:rPr>
                <w:rFonts w:ascii="Arial" w:hAnsi="Arial" w:cs="Arial"/>
                <w:szCs w:val="22"/>
              </w:rPr>
              <w:t>9</w:t>
            </w:r>
            <w:r w:rsidR="00B76683" w:rsidRPr="002D10DA">
              <w:rPr>
                <w:rFonts w:ascii="Arial" w:hAnsi="Arial" w:cs="Arial"/>
                <w:szCs w:val="22"/>
              </w:rPr>
              <w:t xml:space="preserve"> млн. руб. </w:t>
            </w:r>
            <w:r w:rsidR="003B315E" w:rsidRPr="002D10DA">
              <w:rPr>
                <w:rFonts w:ascii="Arial" w:hAnsi="Arial" w:cs="Arial"/>
                <w:szCs w:val="22"/>
              </w:rPr>
              <w:t xml:space="preserve">  </w:t>
            </w:r>
            <w:r w:rsidR="00B76683" w:rsidRPr="002D10DA">
              <w:rPr>
                <w:rFonts w:ascii="Arial" w:hAnsi="Arial" w:cs="Arial"/>
                <w:szCs w:val="22"/>
              </w:rPr>
              <w:t>(</w:t>
            </w:r>
            <w:r w:rsidRPr="002D10DA">
              <w:rPr>
                <w:rFonts w:ascii="Arial" w:hAnsi="Arial" w:cs="Arial"/>
                <w:szCs w:val="22"/>
              </w:rPr>
              <w:t>3</w:t>
            </w:r>
            <w:r w:rsidR="00B76683" w:rsidRPr="002D10DA">
              <w:rPr>
                <w:rFonts w:ascii="Arial" w:hAnsi="Arial" w:cs="Arial"/>
                <w:szCs w:val="22"/>
              </w:rPr>
              <w:t>,</w:t>
            </w:r>
            <w:r w:rsidRPr="002D10DA">
              <w:rPr>
                <w:rFonts w:ascii="Arial" w:hAnsi="Arial" w:cs="Arial"/>
                <w:szCs w:val="22"/>
              </w:rPr>
              <w:t>3</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услуги сторонних организаций</w:t>
            </w:r>
          </w:p>
        </w:tc>
        <w:tc>
          <w:tcPr>
            <w:tcW w:w="2760" w:type="dxa"/>
            <w:vAlign w:val="center"/>
          </w:tcPr>
          <w:p w:rsidR="00B76683" w:rsidRPr="002D10DA" w:rsidRDefault="002D10DA" w:rsidP="002D10DA">
            <w:pPr>
              <w:jc w:val="center"/>
              <w:rPr>
                <w:rFonts w:ascii="Arial" w:hAnsi="Arial" w:cs="Arial"/>
                <w:sz w:val="28"/>
              </w:rPr>
            </w:pPr>
            <w:r w:rsidRPr="002D10DA">
              <w:rPr>
                <w:rFonts w:ascii="Arial" w:hAnsi="Arial" w:cs="Arial"/>
                <w:szCs w:val="22"/>
              </w:rPr>
              <w:t>21</w:t>
            </w:r>
            <w:r w:rsidR="00B76683" w:rsidRPr="002D10DA">
              <w:rPr>
                <w:rFonts w:ascii="Arial" w:hAnsi="Arial" w:cs="Arial"/>
                <w:szCs w:val="22"/>
              </w:rPr>
              <w:t>,</w:t>
            </w:r>
            <w:r w:rsidRPr="002D10DA">
              <w:rPr>
                <w:rFonts w:ascii="Arial" w:hAnsi="Arial" w:cs="Arial"/>
                <w:szCs w:val="22"/>
              </w:rPr>
              <w:t>0</w:t>
            </w:r>
            <w:r w:rsidR="00B76683" w:rsidRPr="002D10DA">
              <w:rPr>
                <w:rFonts w:ascii="Arial" w:hAnsi="Arial" w:cs="Arial"/>
                <w:szCs w:val="22"/>
              </w:rPr>
              <w:t xml:space="preserve"> млн. руб.</w:t>
            </w:r>
            <w:r w:rsidR="00FE16EB" w:rsidRPr="002D10DA">
              <w:rPr>
                <w:rFonts w:ascii="Arial" w:hAnsi="Arial" w:cs="Arial"/>
                <w:szCs w:val="22"/>
              </w:rPr>
              <w:t xml:space="preserve">   </w:t>
            </w:r>
            <w:r w:rsidR="00B76683" w:rsidRPr="002D10DA">
              <w:rPr>
                <w:rFonts w:ascii="Arial" w:hAnsi="Arial" w:cs="Arial"/>
                <w:szCs w:val="22"/>
              </w:rPr>
              <w:t xml:space="preserve">   (</w:t>
            </w:r>
            <w:r w:rsidRPr="002D10DA">
              <w:rPr>
                <w:rFonts w:ascii="Arial" w:hAnsi="Arial" w:cs="Arial"/>
                <w:szCs w:val="22"/>
              </w:rPr>
              <w:t>5</w:t>
            </w:r>
            <w:r w:rsidR="00B76683" w:rsidRPr="002D10DA">
              <w:rPr>
                <w:rFonts w:ascii="Arial" w:hAnsi="Arial" w:cs="Arial"/>
                <w:szCs w:val="22"/>
              </w:rPr>
              <w:t>,</w:t>
            </w:r>
            <w:r w:rsidRPr="002D10DA">
              <w:rPr>
                <w:rFonts w:ascii="Arial" w:hAnsi="Arial" w:cs="Arial"/>
                <w:szCs w:val="22"/>
              </w:rPr>
              <w:t>5</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содержание и ремонт основных средств</w:t>
            </w:r>
          </w:p>
        </w:tc>
        <w:tc>
          <w:tcPr>
            <w:tcW w:w="2760" w:type="dxa"/>
            <w:vAlign w:val="center"/>
          </w:tcPr>
          <w:p w:rsidR="00B76683" w:rsidRPr="002D10DA" w:rsidRDefault="002D10DA" w:rsidP="002D10DA">
            <w:pPr>
              <w:jc w:val="center"/>
              <w:rPr>
                <w:rFonts w:ascii="Arial" w:hAnsi="Arial" w:cs="Arial"/>
                <w:sz w:val="28"/>
              </w:rPr>
            </w:pPr>
            <w:r w:rsidRPr="002D10DA">
              <w:rPr>
                <w:rFonts w:ascii="Arial" w:hAnsi="Arial" w:cs="Arial"/>
                <w:szCs w:val="22"/>
              </w:rPr>
              <w:t>2</w:t>
            </w:r>
            <w:r w:rsidR="00B76683" w:rsidRPr="002D10DA">
              <w:rPr>
                <w:rFonts w:ascii="Arial" w:hAnsi="Arial" w:cs="Arial"/>
                <w:szCs w:val="22"/>
              </w:rPr>
              <w:t>,</w:t>
            </w:r>
            <w:r w:rsidRPr="002D10DA">
              <w:rPr>
                <w:rFonts w:ascii="Arial" w:hAnsi="Arial" w:cs="Arial"/>
                <w:szCs w:val="22"/>
              </w:rPr>
              <w:t>8</w:t>
            </w:r>
            <w:r w:rsidR="00B76683" w:rsidRPr="002D10DA">
              <w:rPr>
                <w:rFonts w:ascii="Arial" w:hAnsi="Arial" w:cs="Arial"/>
                <w:szCs w:val="22"/>
              </w:rPr>
              <w:t xml:space="preserve"> млн. руб. </w:t>
            </w:r>
            <w:r w:rsidR="00FE16EB" w:rsidRPr="002D10DA">
              <w:rPr>
                <w:rFonts w:ascii="Arial" w:hAnsi="Arial" w:cs="Arial"/>
                <w:szCs w:val="22"/>
              </w:rPr>
              <w:t xml:space="preserve">   </w:t>
            </w:r>
            <w:r w:rsidR="00B76683" w:rsidRPr="002D10DA">
              <w:rPr>
                <w:rFonts w:ascii="Arial" w:hAnsi="Arial" w:cs="Arial"/>
                <w:szCs w:val="22"/>
              </w:rPr>
              <w:t xml:space="preserve">  (</w:t>
            </w:r>
            <w:r w:rsidRPr="002D10DA">
              <w:rPr>
                <w:rFonts w:ascii="Arial" w:hAnsi="Arial" w:cs="Arial"/>
                <w:szCs w:val="22"/>
              </w:rPr>
              <w:t>0,7</w:t>
            </w:r>
            <w:r w:rsidR="00B76683" w:rsidRPr="002D10DA">
              <w:rPr>
                <w:rFonts w:ascii="Arial" w:hAnsi="Arial" w:cs="Arial"/>
                <w:szCs w:val="22"/>
              </w:rPr>
              <w:t>%);</w:t>
            </w:r>
          </w:p>
        </w:tc>
      </w:tr>
      <w:tr w:rsidR="00B76683" w:rsidRPr="00B4464E" w:rsidTr="006C6345">
        <w:tc>
          <w:tcPr>
            <w:tcW w:w="6120" w:type="dxa"/>
            <w:vAlign w:val="center"/>
          </w:tcPr>
          <w:p w:rsidR="00B76683" w:rsidRPr="002D10DA" w:rsidRDefault="00B76683" w:rsidP="002D10DA">
            <w:pPr>
              <w:rPr>
                <w:rFonts w:ascii="Arial" w:hAnsi="Arial" w:cs="Arial"/>
                <w:sz w:val="28"/>
              </w:rPr>
            </w:pPr>
            <w:r w:rsidRPr="002D10DA">
              <w:rPr>
                <w:rFonts w:ascii="Arial" w:hAnsi="Arial" w:cs="Arial"/>
                <w:szCs w:val="22"/>
              </w:rPr>
              <w:t>- прочие расходы</w:t>
            </w:r>
          </w:p>
        </w:tc>
        <w:tc>
          <w:tcPr>
            <w:tcW w:w="2760" w:type="dxa"/>
            <w:vAlign w:val="center"/>
          </w:tcPr>
          <w:p w:rsidR="00B76683" w:rsidRPr="002D10DA" w:rsidRDefault="00551547" w:rsidP="002D10DA">
            <w:pPr>
              <w:jc w:val="center"/>
              <w:rPr>
                <w:rFonts w:ascii="Arial" w:hAnsi="Arial" w:cs="Arial"/>
                <w:sz w:val="28"/>
              </w:rPr>
            </w:pPr>
            <w:r w:rsidRPr="002D10DA">
              <w:rPr>
                <w:rFonts w:ascii="Arial" w:hAnsi="Arial" w:cs="Arial"/>
                <w:szCs w:val="22"/>
              </w:rPr>
              <w:t>1</w:t>
            </w:r>
            <w:r w:rsidR="00B64B3A" w:rsidRPr="002D10DA">
              <w:rPr>
                <w:rFonts w:ascii="Arial" w:hAnsi="Arial" w:cs="Arial"/>
                <w:szCs w:val="22"/>
              </w:rPr>
              <w:t>5</w:t>
            </w:r>
            <w:r w:rsidR="00B76683" w:rsidRPr="002D10DA">
              <w:rPr>
                <w:rFonts w:ascii="Arial" w:hAnsi="Arial" w:cs="Arial"/>
                <w:szCs w:val="22"/>
              </w:rPr>
              <w:t>,</w:t>
            </w:r>
            <w:r w:rsidR="002D10DA" w:rsidRPr="002D10DA">
              <w:rPr>
                <w:rFonts w:ascii="Arial" w:hAnsi="Arial" w:cs="Arial"/>
                <w:szCs w:val="22"/>
              </w:rPr>
              <w:t>4</w:t>
            </w:r>
            <w:r w:rsidR="00B76683" w:rsidRPr="002D10DA">
              <w:rPr>
                <w:rFonts w:ascii="Arial" w:hAnsi="Arial" w:cs="Arial"/>
                <w:szCs w:val="22"/>
              </w:rPr>
              <w:t xml:space="preserve"> млн. руб. (</w:t>
            </w:r>
            <w:r w:rsidR="002D10DA" w:rsidRPr="002D10DA">
              <w:rPr>
                <w:rFonts w:ascii="Arial" w:hAnsi="Arial" w:cs="Arial"/>
                <w:szCs w:val="22"/>
              </w:rPr>
              <w:t>4</w:t>
            </w:r>
            <w:r w:rsidR="00B76683" w:rsidRPr="002D10DA">
              <w:rPr>
                <w:rFonts w:ascii="Arial" w:hAnsi="Arial" w:cs="Arial"/>
                <w:szCs w:val="22"/>
              </w:rPr>
              <w:t>,</w:t>
            </w:r>
            <w:r w:rsidR="002D10DA" w:rsidRPr="002D10DA">
              <w:rPr>
                <w:rFonts w:ascii="Arial" w:hAnsi="Arial" w:cs="Arial"/>
                <w:szCs w:val="22"/>
              </w:rPr>
              <w:t>0</w:t>
            </w:r>
            <w:r w:rsidR="00B76683" w:rsidRPr="002D10DA">
              <w:rPr>
                <w:rFonts w:ascii="Arial" w:hAnsi="Arial" w:cs="Arial"/>
                <w:szCs w:val="22"/>
              </w:rPr>
              <w:t>%).</w:t>
            </w:r>
          </w:p>
        </w:tc>
      </w:tr>
    </w:tbl>
    <w:p w:rsidR="00B14DC7" w:rsidRPr="00B4464E" w:rsidRDefault="00B14DC7" w:rsidP="00B76683">
      <w:pPr>
        <w:ind w:firstLine="709"/>
        <w:rPr>
          <w:rFonts w:ascii="Arial" w:hAnsi="Arial" w:cs="Arial"/>
          <w:szCs w:val="22"/>
          <w:highlight w:val="yellow"/>
        </w:rPr>
      </w:pPr>
    </w:p>
    <w:p w:rsidR="00B76683" w:rsidRPr="002D10DA" w:rsidRDefault="00B76683" w:rsidP="00B76683">
      <w:pPr>
        <w:ind w:firstLine="709"/>
        <w:rPr>
          <w:rFonts w:ascii="Arial" w:hAnsi="Arial" w:cs="Arial"/>
          <w:szCs w:val="22"/>
        </w:rPr>
      </w:pPr>
      <w:r w:rsidRPr="002D10DA">
        <w:rPr>
          <w:rFonts w:ascii="Arial" w:hAnsi="Arial" w:cs="Arial"/>
          <w:szCs w:val="22"/>
        </w:rPr>
        <w:t>К уровню 20</w:t>
      </w:r>
      <w:r w:rsidR="002D10DA" w:rsidRPr="002D10DA">
        <w:rPr>
          <w:rFonts w:ascii="Arial" w:hAnsi="Arial" w:cs="Arial"/>
          <w:szCs w:val="22"/>
        </w:rPr>
        <w:t>20</w:t>
      </w:r>
      <w:r w:rsidRPr="002D10DA">
        <w:rPr>
          <w:rFonts w:ascii="Arial" w:hAnsi="Arial" w:cs="Arial"/>
          <w:szCs w:val="22"/>
        </w:rPr>
        <w:t xml:space="preserve"> года общехозяйственные расходы </w:t>
      </w:r>
      <w:r w:rsidR="00B64B3A" w:rsidRPr="002D10DA">
        <w:rPr>
          <w:rFonts w:ascii="Arial" w:hAnsi="Arial" w:cs="Arial"/>
          <w:szCs w:val="22"/>
        </w:rPr>
        <w:t>увеличились</w:t>
      </w:r>
      <w:r w:rsidRPr="002D10DA">
        <w:rPr>
          <w:rFonts w:ascii="Arial" w:hAnsi="Arial" w:cs="Arial"/>
          <w:szCs w:val="22"/>
        </w:rPr>
        <w:t xml:space="preserve"> на </w:t>
      </w:r>
      <w:r w:rsidR="002D10DA" w:rsidRPr="002D10DA">
        <w:rPr>
          <w:rFonts w:ascii="Arial" w:hAnsi="Arial" w:cs="Arial"/>
          <w:szCs w:val="22"/>
        </w:rPr>
        <w:t>8</w:t>
      </w:r>
      <w:r w:rsidR="00B64B3A" w:rsidRPr="002D10DA">
        <w:rPr>
          <w:rFonts w:ascii="Arial" w:hAnsi="Arial" w:cs="Arial"/>
          <w:szCs w:val="22"/>
        </w:rPr>
        <w:t>5</w:t>
      </w:r>
      <w:r w:rsidRPr="002D10DA">
        <w:rPr>
          <w:rFonts w:ascii="Arial" w:hAnsi="Arial" w:cs="Arial"/>
          <w:szCs w:val="22"/>
        </w:rPr>
        <w:t>,</w:t>
      </w:r>
      <w:r w:rsidR="002D10DA" w:rsidRPr="002D10DA">
        <w:rPr>
          <w:rFonts w:ascii="Arial" w:hAnsi="Arial" w:cs="Arial"/>
          <w:szCs w:val="22"/>
        </w:rPr>
        <w:t>1</w:t>
      </w:r>
      <w:r w:rsidRPr="002D10DA">
        <w:rPr>
          <w:rFonts w:ascii="Arial" w:hAnsi="Arial" w:cs="Arial"/>
          <w:szCs w:val="22"/>
        </w:rPr>
        <w:t xml:space="preserve"> млн. руб</w:t>
      </w:r>
      <w:r w:rsidRPr="002D10DA">
        <w:rPr>
          <w:rFonts w:ascii="Arial" w:hAnsi="Arial" w:cs="Arial"/>
          <w:b/>
          <w:bCs/>
          <w:szCs w:val="22"/>
        </w:rPr>
        <w:t xml:space="preserve">., </w:t>
      </w:r>
      <w:r w:rsidRPr="002D10DA">
        <w:rPr>
          <w:rFonts w:ascii="Arial" w:hAnsi="Arial" w:cs="Arial"/>
          <w:szCs w:val="22"/>
        </w:rPr>
        <w:t>из них:</w:t>
      </w:r>
    </w:p>
    <w:tbl>
      <w:tblPr>
        <w:tblW w:w="0" w:type="auto"/>
        <w:jc w:val="center"/>
        <w:tblLook w:val="01E0"/>
      </w:tblPr>
      <w:tblGrid>
        <w:gridCol w:w="6639"/>
        <w:gridCol w:w="2121"/>
      </w:tblGrid>
      <w:tr w:rsidR="00B76683" w:rsidRPr="00B4464E" w:rsidTr="001D1FC8">
        <w:trPr>
          <w:trHeight w:val="552"/>
          <w:jc w:val="center"/>
        </w:trPr>
        <w:tc>
          <w:tcPr>
            <w:tcW w:w="6639" w:type="dxa"/>
            <w:vAlign w:val="center"/>
          </w:tcPr>
          <w:p w:rsidR="00B76683" w:rsidRPr="002D10DA" w:rsidRDefault="00B76683" w:rsidP="00B64B3A">
            <w:pPr>
              <w:rPr>
                <w:rFonts w:ascii="Arial" w:hAnsi="Arial" w:cs="Arial"/>
                <w:sz w:val="28"/>
              </w:rPr>
            </w:pPr>
            <w:r w:rsidRPr="002D10DA">
              <w:rPr>
                <w:rFonts w:ascii="Arial" w:hAnsi="Arial" w:cs="Arial"/>
                <w:szCs w:val="22"/>
              </w:rPr>
              <w:t xml:space="preserve"> - </w:t>
            </w:r>
            <w:r w:rsidR="00B64B3A" w:rsidRPr="002D10DA">
              <w:rPr>
                <w:rFonts w:ascii="Arial" w:hAnsi="Arial" w:cs="Arial"/>
                <w:szCs w:val="22"/>
              </w:rPr>
              <w:t>увеличение</w:t>
            </w:r>
            <w:r w:rsidR="001F70A5" w:rsidRPr="002D10DA">
              <w:rPr>
                <w:rFonts w:ascii="Arial" w:hAnsi="Arial" w:cs="Arial"/>
                <w:szCs w:val="22"/>
              </w:rPr>
              <w:t xml:space="preserve"> </w:t>
            </w:r>
            <w:r w:rsidR="00551547" w:rsidRPr="002D10DA">
              <w:rPr>
                <w:rFonts w:ascii="Arial" w:hAnsi="Arial" w:cs="Arial"/>
                <w:szCs w:val="22"/>
              </w:rPr>
              <w:t xml:space="preserve">расходов на </w:t>
            </w:r>
            <w:r w:rsidR="001F70A5" w:rsidRPr="002D10DA">
              <w:rPr>
                <w:rFonts w:ascii="Arial" w:hAnsi="Arial" w:cs="Arial"/>
                <w:szCs w:val="22"/>
              </w:rPr>
              <w:t>зарплат</w:t>
            </w:r>
            <w:r w:rsidR="00551547" w:rsidRPr="002D10DA">
              <w:rPr>
                <w:rFonts w:ascii="Arial" w:hAnsi="Arial" w:cs="Arial"/>
                <w:szCs w:val="22"/>
              </w:rPr>
              <w:t>у</w:t>
            </w:r>
            <w:r w:rsidR="001F70A5" w:rsidRPr="002D10DA">
              <w:rPr>
                <w:rFonts w:ascii="Arial" w:hAnsi="Arial" w:cs="Arial"/>
                <w:szCs w:val="22"/>
              </w:rPr>
              <w:t xml:space="preserve"> подразделений, не связанных с производством готовой продукции (с ЕСН)</w:t>
            </w:r>
          </w:p>
        </w:tc>
        <w:tc>
          <w:tcPr>
            <w:tcW w:w="2121" w:type="dxa"/>
            <w:vAlign w:val="center"/>
          </w:tcPr>
          <w:p w:rsidR="00B76683" w:rsidRPr="002D10DA" w:rsidRDefault="002D10DA" w:rsidP="00551547">
            <w:pPr>
              <w:jc w:val="center"/>
              <w:rPr>
                <w:rFonts w:ascii="Arial" w:hAnsi="Arial" w:cs="Arial"/>
              </w:rPr>
            </w:pPr>
            <w:r w:rsidRPr="002D10DA">
              <w:rPr>
                <w:rFonts w:ascii="Arial" w:hAnsi="Arial" w:cs="Arial"/>
                <w:szCs w:val="22"/>
              </w:rPr>
              <w:t>82</w:t>
            </w:r>
            <w:r w:rsidR="00B76683" w:rsidRPr="002D10DA">
              <w:rPr>
                <w:rFonts w:ascii="Arial" w:hAnsi="Arial" w:cs="Arial"/>
                <w:szCs w:val="22"/>
              </w:rPr>
              <w:t>,</w:t>
            </w:r>
            <w:r w:rsidRPr="002D10DA">
              <w:rPr>
                <w:rFonts w:ascii="Arial" w:hAnsi="Arial" w:cs="Arial"/>
                <w:szCs w:val="22"/>
              </w:rPr>
              <w:t>0</w:t>
            </w:r>
            <w:r w:rsidR="00B76683" w:rsidRPr="002D10DA">
              <w:rPr>
                <w:rFonts w:ascii="Arial" w:hAnsi="Arial" w:cs="Arial"/>
                <w:szCs w:val="22"/>
              </w:rPr>
              <w:t xml:space="preserve"> млн. руб.;</w:t>
            </w:r>
          </w:p>
          <w:p w:rsidR="00551547" w:rsidRPr="002D10DA" w:rsidRDefault="00551547" w:rsidP="00551547">
            <w:pPr>
              <w:jc w:val="center"/>
              <w:rPr>
                <w:rFonts w:ascii="Arial" w:hAnsi="Arial" w:cs="Arial"/>
                <w:sz w:val="28"/>
              </w:rPr>
            </w:pPr>
          </w:p>
        </w:tc>
      </w:tr>
      <w:tr w:rsidR="00EA4A12" w:rsidRPr="00B4464E" w:rsidTr="001D1FC8">
        <w:trPr>
          <w:trHeight w:val="552"/>
          <w:jc w:val="center"/>
        </w:trPr>
        <w:tc>
          <w:tcPr>
            <w:tcW w:w="6639" w:type="dxa"/>
            <w:vAlign w:val="center"/>
          </w:tcPr>
          <w:p w:rsidR="00EA4A12" w:rsidRPr="002D10DA" w:rsidRDefault="00EA4A12" w:rsidP="00EA4A12">
            <w:pPr>
              <w:rPr>
                <w:rFonts w:ascii="Arial" w:hAnsi="Arial" w:cs="Arial"/>
              </w:rPr>
            </w:pPr>
            <w:r w:rsidRPr="002D10DA">
              <w:rPr>
                <w:rFonts w:ascii="Arial" w:hAnsi="Arial" w:cs="Arial"/>
                <w:szCs w:val="22"/>
              </w:rPr>
              <w:t xml:space="preserve">  - увеличение расходов на услуги сторонних организаций</w:t>
            </w:r>
          </w:p>
        </w:tc>
        <w:tc>
          <w:tcPr>
            <w:tcW w:w="2121" w:type="dxa"/>
            <w:vAlign w:val="center"/>
          </w:tcPr>
          <w:p w:rsidR="00EA4A12" w:rsidRPr="002D10DA" w:rsidRDefault="00EA4A12" w:rsidP="00EA4A12">
            <w:pPr>
              <w:jc w:val="center"/>
              <w:rPr>
                <w:rFonts w:ascii="Arial" w:hAnsi="Arial" w:cs="Arial"/>
              </w:rPr>
            </w:pPr>
            <w:r w:rsidRPr="002D10DA">
              <w:rPr>
                <w:rFonts w:ascii="Arial" w:hAnsi="Arial" w:cs="Arial"/>
                <w:szCs w:val="22"/>
              </w:rPr>
              <w:t>10,1 млн. руб.;</w:t>
            </w:r>
          </w:p>
        </w:tc>
      </w:tr>
      <w:tr w:rsidR="002D10DA" w:rsidRPr="002D10DA" w:rsidTr="001D1FC8">
        <w:trPr>
          <w:trHeight w:val="552"/>
          <w:jc w:val="center"/>
        </w:trPr>
        <w:tc>
          <w:tcPr>
            <w:tcW w:w="6639" w:type="dxa"/>
            <w:vAlign w:val="center"/>
          </w:tcPr>
          <w:p w:rsidR="00551547" w:rsidRPr="002D10DA" w:rsidRDefault="00551547" w:rsidP="002D10DA">
            <w:pPr>
              <w:rPr>
                <w:rFonts w:ascii="Arial" w:hAnsi="Arial" w:cs="Arial"/>
              </w:rPr>
            </w:pPr>
            <w:r w:rsidRPr="002D10DA">
              <w:rPr>
                <w:rFonts w:ascii="Arial" w:hAnsi="Arial" w:cs="Arial"/>
                <w:szCs w:val="22"/>
              </w:rPr>
              <w:t xml:space="preserve">- </w:t>
            </w:r>
            <w:r w:rsidR="002D10DA" w:rsidRPr="002D10DA">
              <w:rPr>
                <w:rFonts w:ascii="Arial" w:hAnsi="Arial" w:cs="Arial"/>
                <w:szCs w:val="22"/>
              </w:rPr>
              <w:t>снижение налога на землю</w:t>
            </w:r>
          </w:p>
        </w:tc>
        <w:tc>
          <w:tcPr>
            <w:tcW w:w="2121" w:type="dxa"/>
            <w:vAlign w:val="center"/>
          </w:tcPr>
          <w:p w:rsidR="00551547" w:rsidRPr="002D10DA" w:rsidRDefault="00EA4A12" w:rsidP="002D10DA">
            <w:pPr>
              <w:jc w:val="center"/>
              <w:rPr>
                <w:rFonts w:ascii="Arial" w:hAnsi="Arial" w:cs="Arial"/>
              </w:rPr>
            </w:pPr>
            <w:r>
              <w:rPr>
                <w:rFonts w:ascii="Arial" w:hAnsi="Arial" w:cs="Arial"/>
                <w:szCs w:val="22"/>
              </w:rPr>
              <w:t>-</w:t>
            </w:r>
            <w:r w:rsidR="002D10DA" w:rsidRPr="002D10DA">
              <w:rPr>
                <w:rFonts w:ascii="Arial" w:hAnsi="Arial" w:cs="Arial"/>
                <w:szCs w:val="22"/>
              </w:rPr>
              <w:t>6</w:t>
            </w:r>
            <w:r w:rsidR="00551547" w:rsidRPr="002D10DA">
              <w:rPr>
                <w:rFonts w:ascii="Arial" w:hAnsi="Arial" w:cs="Arial"/>
                <w:szCs w:val="22"/>
              </w:rPr>
              <w:t>,</w:t>
            </w:r>
            <w:r w:rsidR="002D10DA" w:rsidRPr="002D10DA">
              <w:rPr>
                <w:rFonts w:ascii="Arial" w:hAnsi="Arial" w:cs="Arial"/>
                <w:szCs w:val="22"/>
              </w:rPr>
              <w:t>8</w:t>
            </w:r>
            <w:r w:rsidR="00551547" w:rsidRPr="002D10DA">
              <w:rPr>
                <w:rFonts w:ascii="Arial" w:hAnsi="Arial" w:cs="Arial"/>
                <w:szCs w:val="22"/>
              </w:rPr>
              <w:t xml:space="preserve"> млн. руб.;</w:t>
            </w:r>
          </w:p>
        </w:tc>
      </w:tr>
      <w:tr w:rsidR="00B76683" w:rsidRPr="00B4464E" w:rsidTr="001D1FC8">
        <w:trPr>
          <w:trHeight w:val="552"/>
          <w:jc w:val="center"/>
        </w:trPr>
        <w:tc>
          <w:tcPr>
            <w:tcW w:w="6639" w:type="dxa"/>
            <w:vAlign w:val="center"/>
          </w:tcPr>
          <w:p w:rsidR="00B76683" w:rsidRPr="002D10DA" w:rsidRDefault="00B76683" w:rsidP="002D10DA">
            <w:pPr>
              <w:rPr>
                <w:rFonts w:ascii="Arial" w:hAnsi="Arial" w:cs="Arial"/>
                <w:sz w:val="28"/>
              </w:rPr>
            </w:pPr>
            <w:r w:rsidRPr="002D10DA">
              <w:rPr>
                <w:rFonts w:ascii="Arial" w:hAnsi="Arial" w:cs="Arial"/>
                <w:szCs w:val="22"/>
              </w:rPr>
              <w:t xml:space="preserve"> - </w:t>
            </w:r>
            <w:r w:rsidR="002D10DA" w:rsidRPr="002D10DA">
              <w:rPr>
                <w:rFonts w:ascii="Arial" w:hAnsi="Arial" w:cs="Arial"/>
                <w:szCs w:val="22"/>
              </w:rPr>
              <w:t>снижение</w:t>
            </w:r>
            <w:r w:rsidR="00C730F0" w:rsidRPr="002D10DA">
              <w:rPr>
                <w:rFonts w:ascii="Arial" w:hAnsi="Arial" w:cs="Arial"/>
                <w:szCs w:val="22"/>
              </w:rPr>
              <w:t xml:space="preserve"> прочих расходов</w:t>
            </w:r>
          </w:p>
        </w:tc>
        <w:tc>
          <w:tcPr>
            <w:tcW w:w="2121" w:type="dxa"/>
            <w:vAlign w:val="center"/>
          </w:tcPr>
          <w:p w:rsidR="00B76683" w:rsidRPr="002D10DA" w:rsidRDefault="002D10DA" w:rsidP="002D10DA">
            <w:pPr>
              <w:jc w:val="center"/>
              <w:rPr>
                <w:rFonts w:ascii="Arial" w:hAnsi="Arial" w:cs="Arial"/>
                <w:sz w:val="28"/>
              </w:rPr>
            </w:pPr>
            <w:r>
              <w:rPr>
                <w:rFonts w:ascii="Arial" w:hAnsi="Arial" w:cs="Arial"/>
                <w:szCs w:val="22"/>
              </w:rPr>
              <w:t>-</w:t>
            </w:r>
            <w:r w:rsidRPr="002D10DA">
              <w:rPr>
                <w:rFonts w:ascii="Arial" w:hAnsi="Arial" w:cs="Arial"/>
                <w:szCs w:val="22"/>
              </w:rPr>
              <w:t>0</w:t>
            </w:r>
            <w:r w:rsidR="00465729" w:rsidRPr="002D10DA">
              <w:rPr>
                <w:rFonts w:ascii="Arial" w:hAnsi="Arial" w:cs="Arial"/>
                <w:szCs w:val="22"/>
              </w:rPr>
              <w:t>,</w:t>
            </w:r>
            <w:r w:rsidRPr="002D10DA">
              <w:rPr>
                <w:rFonts w:ascii="Arial" w:hAnsi="Arial" w:cs="Arial"/>
                <w:szCs w:val="22"/>
              </w:rPr>
              <w:t>3</w:t>
            </w:r>
            <w:r w:rsidR="00B76683" w:rsidRPr="002D10DA">
              <w:rPr>
                <w:rFonts w:ascii="Arial" w:hAnsi="Arial" w:cs="Arial"/>
                <w:szCs w:val="22"/>
              </w:rPr>
              <w:t xml:space="preserve"> млн. руб.</w:t>
            </w:r>
          </w:p>
        </w:tc>
      </w:tr>
      <w:tr w:rsidR="002D10DA" w:rsidRPr="00B4464E" w:rsidTr="002D10DA">
        <w:trPr>
          <w:trHeight w:val="552"/>
          <w:jc w:val="center"/>
        </w:trPr>
        <w:tc>
          <w:tcPr>
            <w:tcW w:w="6639" w:type="dxa"/>
            <w:vAlign w:val="center"/>
          </w:tcPr>
          <w:p w:rsidR="002D10DA" w:rsidRPr="002D10DA" w:rsidRDefault="002D10DA" w:rsidP="002D10DA">
            <w:pPr>
              <w:rPr>
                <w:rFonts w:ascii="Arial" w:hAnsi="Arial" w:cs="Arial"/>
                <w:sz w:val="28"/>
              </w:rPr>
            </w:pPr>
            <w:r w:rsidRPr="002D10DA">
              <w:rPr>
                <w:rFonts w:ascii="Arial" w:hAnsi="Arial" w:cs="Arial"/>
                <w:szCs w:val="22"/>
              </w:rPr>
              <w:t xml:space="preserve"> - </w:t>
            </w:r>
            <w:r w:rsidR="00EA4A12" w:rsidRPr="00EA4A12">
              <w:rPr>
                <w:rFonts w:ascii="Arial" w:hAnsi="Arial" w:cs="Arial"/>
                <w:szCs w:val="22"/>
              </w:rPr>
              <w:t>увеличение расходов на текущий ремонт и содержание ОС</w:t>
            </w:r>
          </w:p>
        </w:tc>
        <w:tc>
          <w:tcPr>
            <w:tcW w:w="2121" w:type="dxa"/>
            <w:vAlign w:val="center"/>
          </w:tcPr>
          <w:p w:rsidR="002D10DA" w:rsidRPr="002D10DA" w:rsidRDefault="002D10DA" w:rsidP="00EA4A12">
            <w:pPr>
              <w:jc w:val="center"/>
              <w:rPr>
                <w:rFonts w:ascii="Arial" w:hAnsi="Arial" w:cs="Arial"/>
                <w:sz w:val="28"/>
              </w:rPr>
            </w:pPr>
            <w:r w:rsidRPr="002D10DA">
              <w:rPr>
                <w:rFonts w:ascii="Arial" w:hAnsi="Arial" w:cs="Arial"/>
                <w:szCs w:val="22"/>
              </w:rPr>
              <w:t>0,</w:t>
            </w:r>
            <w:r w:rsidR="00EA4A12">
              <w:rPr>
                <w:rFonts w:ascii="Arial" w:hAnsi="Arial" w:cs="Arial"/>
                <w:szCs w:val="22"/>
              </w:rPr>
              <w:t>1</w:t>
            </w:r>
            <w:r w:rsidRPr="002D10DA">
              <w:rPr>
                <w:rFonts w:ascii="Arial" w:hAnsi="Arial" w:cs="Arial"/>
                <w:szCs w:val="22"/>
              </w:rPr>
              <w:t xml:space="preserve"> млн. руб.</w:t>
            </w:r>
          </w:p>
        </w:tc>
      </w:tr>
    </w:tbl>
    <w:p w:rsidR="00B76683" w:rsidRPr="0053254E" w:rsidRDefault="00B76683" w:rsidP="00B76683">
      <w:pPr>
        <w:tabs>
          <w:tab w:val="left" w:pos="912"/>
        </w:tabs>
        <w:spacing w:before="120" w:after="120"/>
        <w:ind w:firstLine="709"/>
        <w:jc w:val="both"/>
        <w:rPr>
          <w:rFonts w:ascii="Arial" w:hAnsi="Arial" w:cs="Arial"/>
          <w:szCs w:val="22"/>
        </w:rPr>
      </w:pPr>
      <w:r w:rsidRPr="00EA4A12">
        <w:rPr>
          <w:rFonts w:ascii="Arial" w:hAnsi="Arial" w:cs="Arial"/>
          <w:szCs w:val="22"/>
        </w:rPr>
        <w:t>Простоев доменных печей по причине отсутствия сырья и кокса в 20</w:t>
      </w:r>
      <w:r w:rsidR="00465729" w:rsidRPr="00EA4A12">
        <w:rPr>
          <w:rFonts w:ascii="Arial" w:hAnsi="Arial" w:cs="Arial"/>
          <w:szCs w:val="22"/>
        </w:rPr>
        <w:t>2</w:t>
      </w:r>
      <w:r w:rsidR="00EA4A12" w:rsidRPr="00EA4A12">
        <w:rPr>
          <w:rFonts w:ascii="Arial" w:hAnsi="Arial" w:cs="Arial"/>
          <w:szCs w:val="22"/>
        </w:rPr>
        <w:t>1</w:t>
      </w:r>
      <w:r w:rsidRPr="00EA4A12">
        <w:rPr>
          <w:rFonts w:ascii="Arial" w:hAnsi="Arial" w:cs="Arial"/>
          <w:szCs w:val="22"/>
        </w:rPr>
        <w:t xml:space="preserve"> году не было.</w:t>
      </w:r>
    </w:p>
    <w:p w:rsidR="003B315E" w:rsidRPr="00044C17" w:rsidRDefault="003B315E" w:rsidP="00530215">
      <w:pPr>
        <w:pStyle w:val="2"/>
        <w:spacing w:before="120" w:after="120"/>
        <w:rPr>
          <w:rFonts w:ascii="Arial" w:hAnsi="Arial" w:cs="Arial"/>
          <w:i/>
          <w:color w:val="auto"/>
          <w:sz w:val="28"/>
          <w:highlight w:val="yellow"/>
        </w:rPr>
      </w:pPr>
      <w:bookmarkStart w:id="26" w:name="_Toc415487676"/>
    </w:p>
    <w:p w:rsidR="003541CA" w:rsidRPr="00123B51" w:rsidRDefault="003541CA" w:rsidP="00530215">
      <w:pPr>
        <w:pStyle w:val="2"/>
        <w:spacing w:before="120" w:after="120"/>
        <w:rPr>
          <w:rFonts w:ascii="Arial" w:hAnsi="Arial" w:cs="Arial"/>
          <w:i/>
          <w:color w:val="auto"/>
          <w:sz w:val="28"/>
        </w:rPr>
      </w:pPr>
      <w:bookmarkStart w:id="27" w:name="_Toc100678745"/>
      <w:r w:rsidRPr="0067534E">
        <w:rPr>
          <w:rFonts w:ascii="Arial" w:hAnsi="Arial" w:cs="Arial"/>
          <w:i/>
          <w:color w:val="auto"/>
          <w:sz w:val="28"/>
        </w:rPr>
        <w:t>Кадровая, социальная политика, отношения с государственными органами</w:t>
      </w:r>
      <w:bookmarkEnd w:id="26"/>
      <w:bookmarkEnd w:id="27"/>
    </w:p>
    <w:p w:rsidR="00184DFB" w:rsidRDefault="00184DFB" w:rsidP="00184DFB">
      <w:pPr>
        <w:spacing w:before="120" w:after="120"/>
        <w:ind w:firstLine="851"/>
        <w:jc w:val="both"/>
        <w:rPr>
          <w:rFonts w:ascii="Arial" w:hAnsi="Arial" w:cs="Arial"/>
          <w:sz w:val="22"/>
          <w:szCs w:val="22"/>
        </w:rPr>
      </w:pPr>
      <w:r>
        <w:rPr>
          <w:rFonts w:ascii="Arial" w:hAnsi="Arial" w:cs="Arial"/>
        </w:rPr>
        <w:t>В 2021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184DFB" w:rsidRDefault="00184DFB" w:rsidP="00184DFB">
      <w:pPr>
        <w:ind w:firstLine="900"/>
        <w:jc w:val="both"/>
        <w:rPr>
          <w:rFonts w:ascii="Arial" w:hAnsi="Arial" w:cs="Arial"/>
        </w:rPr>
      </w:pPr>
      <w:r>
        <w:rPr>
          <w:rFonts w:ascii="Arial" w:hAnsi="Arial" w:cs="Arial"/>
        </w:rPr>
        <w:lastRenderedPageBreak/>
        <w:t>Фактический фонд заработной платы за 2021 год составил 996,0 млн. руб. (в 2020г. – 873,5 млн. руб.). Увеличение ФЗП по итогам 2021 года – 14,0%, произошло за счет увеличения заработной платы работникам завода. С октября 2020 года и в течении</w:t>
      </w:r>
      <w:r>
        <w:rPr>
          <w:rFonts w:ascii="Arial" w:hAnsi="Arial" w:cs="Arial"/>
          <w:color w:val="FF0000"/>
        </w:rPr>
        <w:t xml:space="preserve"> </w:t>
      </w:r>
      <w:r>
        <w:rPr>
          <w:rFonts w:ascii="Arial" w:hAnsi="Arial" w:cs="Arial"/>
        </w:rPr>
        <w:t>2021 года повышена заработная плата работникам всех подразделений завода в среднем на 9,5%.</w:t>
      </w:r>
    </w:p>
    <w:p w:rsidR="00184DFB" w:rsidRDefault="00184DFB" w:rsidP="00184DFB">
      <w:pPr>
        <w:spacing w:before="120" w:after="120"/>
        <w:ind w:firstLine="851"/>
        <w:jc w:val="both"/>
        <w:rPr>
          <w:rFonts w:ascii="Arial" w:hAnsi="Arial" w:cs="Arial"/>
        </w:rPr>
      </w:pPr>
      <w:r>
        <w:rPr>
          <w:rFonts w:ascii="Arial" w:hAnsi="Arial" w:cs="Arial"/>
        </w:rPr>
        <w:t xml:space="preserve">Фактическая среднесписочная численность всего персонала за 2021 год составила </w:t>
      </w:r>
    </w:p>
    <w:p w:rsidR="00184DFB" w:rsidRDefault="00184DFB" w:rsidP="00184DFB">
      <w:pPr>
        <w:spacing w:before="120" w:after="120"/>
        <w:jc w:val="both"/>
        <w:rPr>
          <w:rFonts w:ascii="Arial" w:hAnsi="Arial" w:cs="Arial"/>
        </w:rPr>
      </w:pPr>
      <w:r>
        <w:rPr>
          <w:rFonts w:ascii="Arial" w:hAnsi="Arial" w:cs="Arial"/>
        </w:rPr>
        <w:t>1720 человека, (в 2020г.- 1732 чел.). Структура численности:</w:t>
      </w:r>
    </w:p>
    <w:p w:rsidR="00184DFB" w:rsidRDefault="00184DFB" w:rsidP="00184DFB">
      <w:pPr>
        <w:jc w:val="center"/>
        <w:rPr>
          <w:rFonts w:ascii="Arial" w:hAnsi="Arial" w:cs="Arial"/>
          <w:i/>
        </w:rPr>
      </w:pPr>
      <w:r>
        <w:rPr>
          <w:rFonts w:ascii="Arial" w:hAnsi="Arial" w:cs="Arial"/>
          <w:i/>
        </w:rPr>
        <w:t xml:space="preserve">Таблица </w:t>
      </w:r>
      <w:r w:rsidR="006B7CE0">
        <w:rPr>
          <w:rFonts w:ascii="Arial" w:hAnsi="Arial" w:cs="Arial"/>
          <w:i/>
        </w:rPr>
        <w:t>9</w:t>
      </w:r>
      <w:r>
        <w:rPr>
          <w:rFonts w:ascii="Arial" w:hAnsi="Arial" w:cs="Arial"/>
          <w:i/>
        </w:rPr>
        <w:t>. Структура численности персонала ПАО «КМЗ» в 2021 году</w:t>
      </w:r>
    </w:p>
    <w:tbl>
      <w:tblPr>
        <w:tblW w:w="0" w:type="auto"/>
        <w:jc w:val="center"/>
        <w:tblBorders>
          <w:top w:val="single" w:sz="12" w:space="0" w:color="000000"/>
          <w:bottom w:val="single" w:sz="12" w:space="0" w:color="000000"/>
        </w:tblBorders>
        <w:tblLook w:val="01E0"/>
      </w:tblPr>
      <w:tblGrid>
        <w:gridCol w:w="1814"/>
        <w:gridCol w:w="8"/>
        <w:gridCol w:w="1770"/>
        <w:gridCol w:w="8"/>
        <w:gridCol w:w="1936"/>
        <w:gridCol w:w="8"/>
      </w:tblGrid>
      <w:tr w:rsidR="00184DFB" w:rsidTr="00184DFB">
        <w:trPr>
          <w:trHeight w:val="644"/>
          <w:jc w:val="center"/>
        </w:trPr>
        <w:tc>
          <w:tcPr>
            <w:tcW w:w="1822"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184DFB" w:rsidRDefault="00184DFB">
            <w:pPr>
              <w:jc w:val="center"/>
              <w:rPr>
                <w:rFonts w:ascii="Arial" w:hAnsi="Arial" w:cs="Arial"/>
                <w:b/>
                <w:iCs/>
                <w:sz w:val="20"/>
                <w:szCs w:val="20"/>
              </w:rPr>
            </w:pPr>
            <w:r>
              <w:rPr>
                <w:rFonts w:ascii="Arial" w:hAnsi="Arial" w:cs="Arial"/>
                <w:b/>
                <w:iCs/>
                <w:sz w:val="20"/>
                <w:szCs w:val="20"/>
              </w:rPr>
              <w:t>Категория</w:t>
            </w:r>
          </w:p>
        </w:tc>
        <w:tc>
          <w:tcPr>
            <w:tcW w:w="177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184DFB" w:rsidRDefault="00184DFB">
            <w:pPr>
              <w:jc w:val="center"/>
              <w:rPr>
                <w:rFonts w:ascii="Arial" w:hAnsi="Arial" w:cs="Arial"/>
                <w:b/>
                <w:iCs/>
                <w:sz w:val="20"/>
                <w:szCs w:val="20"/>
              </w:rPr>
            </w:pPr>
            <w:r>
              <w:rPr>
                <w:rFonts w:ascii="Arial" w:hAnsi="Arial" w:cs="Arial"/>
                <w:b/>
                <w:iCs/>
                <w:sz w:val="20"/>
                <w:szCs w:val="20"/>
              </w:rPr>
              <w:t>Численность, чел.</w:t>
            </w:r>
          </w:p>
        </w:tc>
        <w:tc>
          <w:tcPr>
            <w:tcW w:w="194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184DFB" w:rsidRDefault="00184DFB">
            <w:pPr>
              <w:jc w:val="center"/>
              <w:rPr>
                <w:rFonts w:ascii="Arial" w:hAnsi="Arial" w:cs="Arial"/>
                <w:b/>
                <w:iCs/>
                <w:sz w:val="20"/>
                <w:szCs w:val="20"/>
              </w:rPr>
            </w:pPr>
            <w:r>
              <w:rPr>
                <w:rFonts w:ascii="Arial" w:hAnsi="Arial" w:cs="Arial"/>
                <w:b/>
                <w:iCs/>
                <w:sz w:val="20"/>
                <w:szCs w:val="20"/>
              </w:rPr>
              <w:t>Доля в общей численности, %</w:t>
            </w:r>
          </w:p>
        </w:tc>
      </w:tr>
      <w:tr w:rsidR="00184DFB" w:rsidTr="00184DFB">
        <w:trPr>
          <w:gridAfter w:val="1"/>
          <w:wAfter w:w="8" w:type="dxa"/>
          <w:trHeight w:val="350"/>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rsidR="00184DFB" w:rsidRDefault="00184DFB">
            <w:pPr>
              <w:rPr>
                <w:rFonts w:ascii="Arial" w:hAnsi="Arial" w:cs="Arial"/>
              </w:rPr>
            </w:pPr>
            <w:r>
              <w:rPr>
                <w:rFonts w:ascii="Arial" w:hAnsi="Arial" w:cs="Arial"/>
              </w:rPr>
              <w:t>рабочие</w:t>
            </w:r>
          </w:p>
        </w:tc>
        <w:tc>
          <w:tcPr>
            <w:tcW w:w="1778"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1325</w:t>
            </w:r>
          </w:p>
        </w:tc>
        <w:tc>
          <w:tcPr>
            <w:tcW w:w="1944"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77,0</w:t>
            </w:r>
          </w:p>
        </w:tc>
      </w:tr>
      <w:tr w:rsidR="00184DFB" w:rsidTr="00184DFB">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rsidR="00184DFB" w:rsidRDefault="00184DFB">
            <w:pPr>
              <w:rPr>
                <w:rFonts w:ascii="Arial" w:hAnsi="Arial" w:cs="Arial"/>
              </w:rPr>
            </w:pPr>
            <w:r>
              <w:rPr>
                <w:rFonts w:ascii="Arial" w:hAnsi="Arial" w:cs="Arial"/>
              </w:rPr>
              <w:t>руководители</w:t>
            </w:r>
          </w:p>
        </w:tc>
        <w:tc>
          <w:tcPr>
            <w:tcW w:w="1778"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205</w:t>
            </w:r>
          </w:p>
        </w:tc>
        <w:tc>
          <w:tcPr>
            <w:tcW w:w="1944"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11,9</w:t>
            </w:r>
          </w:p>
        </w:tc>
      </w:tr>
      <w:tr w:rsidR="00184DFB" w:rsidTr="00184DFB">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rsidR="00184DFB" w:rsidRDefault="00184DFB">
            <w:pPr>
              <w:rPr>
                <w:rFonts w:ascii="Arial" w:hAnsi="Arial" w:cs="Arial"/>
              </w:rPr>
            </w:pPr>
            <w:r>
              <w:rPr>
                <w:rFonts w:ascii="Arial" w:hAnsi="Arial" w:cs="Arial"/>
              </w:rPr>
              <w:t>специалисты</w:t>
            </w:r>
          </w:p>
        </w:tc>
        <w:tc>
          <w:tcPr>
            <w:tcW w:w="1778"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171</w:t>
            </w:r>
          </w:p>
        </w:tc>
        <w:tc>
          <w:tcPr>
            <w:tcW w:w="1944"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10,0</w:t>
            </w:r>
          </w:p>
        </w:tc>
      </w:tr>
      <w:tr w:rsidR="00184DFB" w:rsidTr="00184DFB">
        <w:trPr>
          <w:gridAfter w:val="1"/>
          <w:wAfter w:w="8" w:type="dxa"/>
          <w:trHeight w:val="397"/>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rsidR="00184DFB" w:rsidRDefault="00184DFB">
            <w:pPr>
              <w:rPr>
                <w:rFonts w:ascii="Arial" w:hAnsi="Arial" w:cs="Arial"/>
              </w:rPr>
            </w:pPr>
            <w:r>
              <w:rPr>
                <w:rFonts w:ascii="Arial" w:hAnsi="Arial" w:cs="Arial"/>
              </w:rPr>
              <w:t>служащие</w:t>
            </w:r>
          </w:p>
        </w:tc>
        <w:tc>
          <w:tcPr>
            <w:tcW w:w="1778"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19</w:t>
            </w:r>
          </w:p>
        </w:tc>
        <w:tc>
          <w:tcPr>
            <w:tcW w:w="1944"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184DFB">
            <w:pPr>
              <w:jc w:val="center"/>
              <w:rPr>
                <w:rFonts w:ascii="Arial" w:hAnsi="Arial" w:cs="Arial"/>
              </w:rPr>
            </w:pPr>
            <w:r>
              <w:rPr>
                <w:rFonts w:ascii="Arial" w:hAnsi="Arial" w:cs="Arial"/>
              </w:rPr>
              <w:t>1,1</w:t>
            </w:r>
          </w:p>
        </w:tc>
      </w:tr>
      <w:tr w:rsidR="00184DFB" w:rsidTr="00184DFB">
        <w:trPr>
          <w:gridAfter w:val="1"/>
          <w:wAfter w:w="8" w:type="dxa"/>
          <w:trHeight w:val="363"/>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rsidR="00184DFB" w:rsidRDefault="00184DFB">
            <w:pPr>
              <w:rPr>
                <w:rFonts w:ascii="Arial" w:hAnsi="Arial" w:cs="Arial"/>
                <w:b/>
                <w:bCs/>
              </w:rPr>
            </w:pPr>
            <w:r>
              <w:rPr>
                <w:rFonts w:ascii="Arial" w:hAnsi="Arial" w:cs="Arial"/>
                <w:b/>
                <w:bCs/>
              </w:rPr>
              <w:t>Всего</w:t>
            </w:r>
          </w:p>
        </w:tc>
        <w:tc>
          <w:tcPr>
            <w:tcW w:w="1778"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F92859">
            <w:pPr>
              <w:jc w:val="center"/>
              <w:rPr>
                <w:rFonts w:ascii="Arial" w:hAnsi="Arial" w:cs="Arial"/>
                <w:b/>
              </w:rPr>
            </w:pPr>
            <w:r>
              <w:rPr>
                <w:rFonts w:ascii="Arial" w:hAnsi="Arial" w:cs="Arial"/>
                <w:b/>
              </w:rPr>
              <w:fldChar w:fldCharType="begin"/>
            </w:r>
            <w:r w:rsidR="00184DFB">
              <w:rPr>
                <w:rFonts w:ascii="Arial" w:hAnsi="Arial" w:cs="Arial"/>
                <w:b/>
              </w:rPr>
              <w:instrText xml:space="preserve"> =SUM(ABOVE) </w:instrText>
            </w:r>
            <w:r>
              <w:rPr>
                <w:rFonts w:ascii="Arial" w:hAnsi="Arial" w:cs="Arial"/>
                <w:b/>
              </w:rPr>
              <w:fldChar w:fldCharType="separate"/>
            </w:r>
            <w:r w:rsidR="00184DFB">
              <w:rPr>
                <w:rFonts w:ascii="Arial" w:hAnsi="Arial" w:cs="Arial"/>
                <w:b/>
                <w:noProof/>
              </w:rPr>
              <w:t>1720</w:t>
            </w:r>
            <w:r>
              <w:rPr>
                <w:rFonts w:ascii="Arial" w:hAnsi="Arial" w:cs="Arial"/>
                <w:b/>
              </w:rPr>
              <w:fldChar w:fldCharType="end"/>
            </w:r>
          </w:p>
        </w:tc>
        <w:tc>
          <w:tcPr>
            <w:tcW w:w="1944" w:type="dxa"/>
            <w:gridSpan w:val="2"/>
            <w:tcBorders>
              <w:top w:val="single" w:sz="4" w:space="0" w:color="auto"/>
              <w:left w:val="single" w:sz="4" w:space="0" w:color="auto"/>
              <w:bottom w:val="single" w:sz="4" w:space="0" w:color="auto"/>
              <w:right w:val="single" w:sz="4" w:space="0" w:color="auto"/>
            </w:tcBorders>
            <w:vAlign w:val="center"/>
            <w:hideMark/>
          </w:tcPr>
          <w:p w:rsidR="00184DFB" w:rsidRDefault="00F92859">
            <w:pPr>
              <w:jc w:val="center"/>
              <w:rPr>
                <w:rFonts w:ascii="Arial" w:hAnsi="Arial" w:cs="Arial"/>
                <w:b/>
              </w:rPr>
            </w:pPr>
            <w:r>
              <w:rPr>
                <w:rFonts w:ascii="Arial" w:hAnsi="Arial" w:cs="Arial"/>
                <w:b/>
              </w:rPr>
              <w:fldChar w:fldCharType="begin"/>
            </w:r>
            <w:r w:rsidR="00184DFB">
              <w:rPr>
                <w:rFonts w:ascii="Arial" w:hAnsi="Arial" w:cs="Arial"/>
                <w:b/>
              </w:rPr>
              <w:instrText xml:space="preserve"> =SUM(ABOVE) </w:instrText>
            </w:r>
            <w:r>
              <w:rPr>
                <w:rFonts w:ascii="Arial" w:hAnsi="Arial" w:cs="Arial"/>
                <w:b/>
              </w:rPr>
              <w:fldChar w:fldCharType="separate"/>
            </w:r>
            <w:r w:rsidR="00184DFB">
              <w:rPr>
                <w:rFonts w:ascii="Arial" w:hAnsi="Arial" w:cs="Arial"/>
                <w:b/>
                <w:noProof/>
              </w:rPr>
              <w:t>100</w:t>
            </w:r>
            <w:r>
              <w:rPr>
                <w:rFonts w:ascii="Arial" w:hAnsi="Arial" w:cs="Arial"/>
                <w:b/>
              </w:rPr>
              <w:fldChar w:fldCharType="end"/>
            </w:r>
            <w:r w:rsidR="00184DFB">
              <w:rPr>
                <w:rFonts w:ascii="Arial" w:hAnsi="Arial" w:cs="Arial"/>
                <w:b/>
              </w:rPr>
              <w:t>%</w:t>
            </w:r>
          </w:p>
        </w:tc>
      </w:tr>
    </w:tbl>
    <w:p w:rsidR="00184DFB" w:rsidRDefault="00184DFB" w:rsidP="00184DFB">
      <w:pPr>
        <w:pStyle w:val="a5"/>
        <w:ind w:firstLine="709"/>
        <w:rPr>
          <w:rFonts w:ascii="Arial" w:hAnsi="Arial" w:cs="Arial"/>
          <w:sz w:val="22"/>
          <w:szCs w:val="22"/>
        </w:rPr>
      </w:pPr>
    </w:p>
    <w:p w:rsidR="00184DFB" w:rsidRDefault="00184DFB" w:rsidP="00184DFB">
      <w:pPr>
        <w:pStyle w:val="a5"/>
        <w:ind w:firstLine="709"/>
        <w:rPr>
          <w:rFonts w:ascii="Arial" w:hAnsi="Arial" w:cs="Arial"/>
          <w:sz w:val="22"/>
          <w:szCs w:val="22"/>
        </w:rPr>
      </w:pPr>
      <w:r>
        <w:rPr>
          <w:rFonts w:ascii="Arial" w:hAnsi="Arial" w:cs="Arial"/>
          <w:sz w:val="22"/>
          <w:szCs w:val="22"/>
        </w:rPr>
        <w:t>По сравнению с 2020 годом среднесписочная численность уменьшилась на 12 человек (0,7%). Уменьшение численности произошло за счет естественного движения кадров.</w:t>
      </w:r>
    </w:p>
    <w:p w:rsidR="00184DFB" w:rsidRDefault="00184DFB" w:rsidP="00184DFB">
      <w:pPr>
        <w:ind w:firstLine="709"/>
        <w:jc w:val="both"/>
        <w:rPr>
          <w:rFonts w:ascii="Arial" w:hAnsi="Arial" w:cs="Arial"/>
          <w:sz w:val="22"/>
          <w:szCs w:val="22"/>
        </w:rPr>
      </w:pPr>
      <w:r>
        <w:rPr>
          <w:rFonts w:ascii="Arial" w:hAnsi="Arial" w:cs="Arial"/>
        </w:rPr>
        <w:t>Фактическая средняя заработная плата по предприятию в 2021 году составила 48257,8 руб.  (в 2020 г.– 42027,9 руб.). Рост – 14,8%. В структуре средней заработной платы в 2021 году по отношению к 2020 году произошли следующие изменения:</w:t>
      </w:r>
    </w:p>
    <w:p w:rsidR="00184DFB" w:rsidRDefault="00184DFB" w:rsidP="00184DFB">
      <w:pPr>
        <w:numPr>
          <w:ilvl w:val="0"/>
          <w:numId w:val="42"/>
        </w:numPr>
        <w:ind w:left="1276" w:hanging="425"/>
        <w:jc w:val="both"/>
        <w:rPr>
          <w:rFonts w:ascii="Arial" w:hAnsi="Arial" w:cs="Arial"/>
        </w:rPr>
      </w:pPr>
      <w:r>
        <w:rPr>
          <w:rFonts w:ascii="Arial" w:hAnsi="Arial" w:cs="Arial"/>
        </w:rPr>
        <w:t>окладная часть                                         - увеличилась на 5,1 %;</w:t>
      </w:r>
    </w:p>
    <w:p w:rsidR="00184DFB" w:rsidRDefault="00184DFB" w:rsidP="00184DFB">
      <w:pPr>
        <w:numPr>
          <w:ilvl w:val="0"/>
          <w:numId w:val="42"/>
        </w:numPr>
        <w:ind w:left="1276" w:hanging="425"/>
        <w:jc w:val="both"/>
        <w:rPr>
          <w:rFonts w:ascii="Arial" w:hAnsi="Arial" w:cs="Arial"/>
        </w:rPr>
      </w:pPr>
      <w:r>
        <w:rPr>
          <w:rFonts w:ascii="Arial" w:hAnsi="Arial" w:cs="Arial"/>
        </w:rPr>
        <w:t>премиальная часть                                   - увеличилась на 3,6 %;</w:t>
      </w:r>
    </w:p>
    <w:p w:rsidR="00184DFB" w:rsidRDefault="00184DFB" w:rsidP="00184DFB">
      <w:pPr>
        <w:numPr>
          <w:ilvl w:val="0"/>
          <w:numId w:val="42"/>
        </w:numPr>
        <w:ind w:left="1276" w:hanging="425"/>
        <w:jc w:val="both"/>
        <w:rPr>
          <w:rFonts w:ascii="Arial" w:hAnsi="Arial" w:cs="Arial"/>
        </w:rPr>
      </w:pPr>
      <w:r>
        <w:rPr>
          <w:rFonts w:ascii="Arial" w:hAnsi="Arial" w:cs="Arial"/>
        </w:rPr>
        <w:t>доплаты обязательного характера         - увеличились на 1,0 %;</w:t>
      </w:r>
    </w:p>
    <w:p w:rsidR="00184DFB" w:rsidRDefault="00184DFB" w:rsidP="00184DFB">
      <w:pPr>
        <w:numPr>
          <w:ilvl w:val="0"/>
          <w:numId w:val="42"/>
        </w:numPr>
        <w:ind w:left="1276" w:hanging="425"/>
        <w:jc w:val="both"/>
        <w:rPr>
          <w:rFonts w:ascii="Arial" w:hAnsi="Arial" w:cs="Arial"/>
        </w:rPr>
      </w:pPr>
      <w:r>
        <w:rPr>
          <w:rFonts w:ascii="Arial" w:hAnsi="Arial" w:cs="Arial"/>
        </w:rPr>
        <w:t>надбавки стимулирующего характера    - увеличились на 0,3 %;</w:t>
      </w:r>
    </w:p>
    <w:p w:rsidR="00184DFB" w:rsidRDefault="00184DFB" w:rsidP="00184DFB">
      <w:pPr>
        <w:numPr>
          <w:ilvl w:val="0"/>
          <w:numId w:val="42"/>
        </w:numPr>
        <w:ind w:left="1276" w:hanging="425"/>
        <w:jc w:val="both"/>
        <w:rPr>
          <w:rFonts w:ascii="Arial" w:hAnsi="Arial" w:cs="Arial"/>
        </w:rPr>
      </w:pPr>
      <w:r>
        <w:rPr>
          <w:rFonts w:ascii="Arial" w:hAnsi="Arial" w:cs="Arial"/>
        </w:rPr>
        <w:t>оплата отпуска                                          - увеличилась на 4,5 %;</w:t>
      </w:r>
    </w:p>
    <w:p w:rsidR="00184DFB" w:rsidRDefault="00184DFB" w:rsidP="00184DFB">
      <w:pPr>
        <w:numPr>
          <w:ilvl w:val="0"/>
          <w:numId w:val="42"/>
        </w:numPr>
        <w:ind w:left="1276" w:hanging="425"/>
        <w:jc w:val="both"/>
        <w:rPr>
          <w:rFonts w:ascii="Arial" w:hAnsi="Arial" w:cs="Arial"/>
        </w:rPr>
      </w:pPr>
      <w:r>
        <w:rPr>
          <w:rFonts w:ascii="Arial" w:hAnsi="Arial" w:cs="Arial"/>
        </w:rPr>
        <w:t>прочие (оплата по среднему)                  - увеличились на 0,3%.</w:t>
      </w:r>
    </w:p>
    <w:p w:rsidR="00184DFB" w:rsidRDefault="00184DFB" w:rsidP="00184DFB">
      <w:pPr>
        <w:ind w:left="1276"/>
        <w:jc w:val="both"/>
        <w:rPr>
          <w:rFonts w:ascii="Arial" w:hAnsi="Arial" w:cs="Arial"/>
        </w:rPr>
      </w:pPr>
    </w:p>
    <w:p w:rsidR="00184DFB" w:rsidRDefault="00184DFB" w:rsidP="00184DFB">
      <w:pPr>
        <w:ind w:firstLine="851"/>
        <w:jc w:val="both"/>
        <w:rPr>
          <w:rFonts w:ascii="Arial" w:hAnsi="Arial" w:cs="Arial"/>
          <w:color w:val="FF0000"/>
        </w:rPr>
      </w:pPr>
      <w:r>
        <w:rPr>
          <w:rFonts w:ascii="Arial" w:hAnsi="Arial" w:cs="Arial"/>
        </w:rPr>
        <w:t>В 2021 году доля работников с высшим профессиональным образованием составила 20,3%,</w:t>
      </w:r>
      <w:r>
        <w:rPr>
          <w:rFonts w:ascii="Arial" w:hAnsi="Arial" w:cs="Arial"/>
          <w:color w:val="FF0000"/>
        </w:rPr>
        <w:t xml:space="preserve"> </w:t>
      </w:r>
      <w:r>
        <w:rPr>
          <w:rFonts w:ascii="Arial" w:hAnsi="Arial" w:cs="Arial"/>
        </w:rPr>
        <w:t>со средним профессиональным образованием – 23,2%</w:t>
      </w:r>
      <w:r>
        <w:rPr>
          <w:rFonts w:ascii="Arial" w:hAnsi="Arial" w:cs="Arial"/>
          <w:color w:val="FF0000"/>
        </w:rPr>
        <w:t xml:space="preserve"> </w:t>
      </w:r>
      <w:r>
        <w:rPr>
          <w:rFonts w:ascii="Arial" w:hAnsi="Arial" w:cs="Arial"/>
        </w:rPr>
        <w:t>от общего числа работающих. Два руководителя</w:t>
      </w:r>
      <w:r>
        <w:rPr>
          <w:rFonts w:ascii="Arial" w:hAnsi="Arial" w:cs="Arial"/>
          <w:color w:val="FF0000"/>
        </w:rPr>
        <w:t> </w:t>
      </w:r>
      <w:r>
        <w:rPr>
          <w:rFonts w:ascii="Arial" w:hAnsi="Arial" w:cs="Arial"/>
        </w:rPr>
        <w:t>имеют степень кандидата наук. Средний возраст руководителей составляет 50 лет, специалистов – 47 лет, служащих – 51 год, рабочих – 47 лет.</w:t>
      </w:r>
    </w:p>
    <w:p w:rsidR="002F50C1" w:rsidRPr="00464685" w:rsidRDefault="002F50C1" w:rsidP="00100203">
      <w:pPr>
        <w:pStyle w:val="a5"/>
        <w:spacing w:before="120" w:after="120"/>
        <w:ind w:firstLine="709"/>
        <w:rPr>
          <w:rFonts w:ascii="Arial" w:hAnsi="Arial" w:cs="Arial"/>
          <w:szCs w:val="22"/>
        </w:rPr>
      </w:pPr>
      <w:r w:rsidRPr="007415B4">
        <w:rPr>
          <w:rFonts w:ascii="Arial" w:hAnsi="Arial" w:cs="Arial"/>
          <w:szCs w:val="22"/>
        </w:rPr>
        <w:t>Большое внимание уделяется благотворительности. Предприятие постоянно оказывает</w:t>
      </w:r>
      <w:r w:rsidR="002B0884" w:rsidRPr="007415B4">
        <w:rPr>
          <w:rFonts w:ascii="Arial" w:hAnsi="Arial" w:cs="Arial"/>
          <w:szCs w:val="22"/>
        </w:rPr>
        <w:t xml:space="preserve"> </w:t>
      </w:r>
      <w:r w:rsidRPr="007415B4">
        <w:rPr>
          <w:rFonts w:ascii="Arial" w:hAnsi="Arial" w:cs="Arial"/>
          <w:szCs w:val="22"/>
        </w:rPr>
        <w:t xml:space="preserve">помощь </w:t>
      </w:r>
      <w:r w:rsidR="002B0884" w:rsidRPr="007415B4">
        <w:rPr>
          <w:rFonts w:ascii="Arial" w:hAnsi="Arial" w:cs="Arial"/>
          <w:szCs w:val="22"/>
        </w:rPr>
        <w:t>общественным организациям, занимающимся созданием</w:t>
      </w:r>
      <w:r w:rsidR="006927F0" w:rsidRPr="007415B4">
        <w:rPr>
          <w:rFonts w:ascii="Arial" w:hAnsi="Arial" w:cs="Arial"/>
          <w:szCs w:val="22"/>
        </w:rPr>
        <w:t xml:space="preserve"> и восстановлением памятников военной истории  России, </w:t>
      </w:r>
      <w:r w:rsidR="002B0884" w:rsidRPr="007415B4">
        <w:rPr>
          <w:rFonts w:ascii="Arial" w:hAnsi="Arial" w:cs="Arial"/>
          <w:szCs w:val="22"/>
        </w:rPr>
        <w:t xml:space="preserve">мемориалов и памятников культуры, </w:t>
      </w:r>
      <w:r w:rsidRPr="007415B4">
        <w:rPr>
          <w:rFonts w:ascii="Arial" w:hAnsi="Arial" w:cs="Arial"/>
          <w:szCs w:val="22"/>
        </w:rPr>
        <w:t xml:space="preserve">ветеранам войны и труда, </w:t>
      </w:r>
      <w:r w:rsidR="002B0884" w:rsidRPr="007415B4">
        <w:rPr>
          <w:rFonts w:ascii="Arial" w:hAnsi="Arial" w:cs="Arial"/>
          <w:szCs w:val="22"/>
        </w:rPr>
        <w:t xml:space="preserve">тяжелобольным детям на лечение, </w:t>
      </w:r>
      <w:r w:rsidRPr="007415B4">
        <w:rPr>
          <w:rFonts w:ascii="Arial" w:hAnsi="Arial" w:cs="Arial"/>
          <w:szCs w:val="22"/>
        </w:rPr>
        <w:t>детским домам и школам, храмам и церквям, поддерживает развитие спорта и творческие коллективы. На цели благотворительности предприятием в 20</w:t>
      </w:r>
      <w:r w:rsidR="00E3415F" w:rsidRPr="007415B4">
        <w:rPr>
          <w:rFonts w:ascii="Arial" w:hAnsi="Arial" w:cs="Arial"/>
          <w:szCs w:val="22"/>
        </w:rPr>
        <w:t>2</w:t>
      </w:r>
      <w:r w:rsidR="00184DFB" w:rsidRPr="007415B4">
        <w:rPr>
          <w:rFonts w:ascii="Arial" w:hAnsi="Arial" w:cs="Arial"/>
          <w:szCs w:val="22"/>
        </w:rPr>
        <w:t>1</w:t>
      </w:r>
      <w:r w:rsidRPr="007415B4">
        <w:rPr>
          <w:rFonts w:ascii="Arial" w:hAnsi="Arial" w:cs="Arial"/>
          <w:szCs w:val="22"/>
        </w:rPr>
        <w:t xml:space="preserve"> году выделено </w:t>
      </w:r>
      <w:r w:rsidR="00464685" w:rsidRPr="007415B4">
        <w:rPr>
          <w:rFonts w:ascii="Arial" w:hAnsi="Arial" w:cs="Arial"/>
          <w:szCs w:val="22"/>
        </w:rPr>
        <w:t>8</w:t>
      </w:r>
      <w:r w:rsidR="004F17E7" w:rsidRPr="007415B4">
        <w:rPr>
          <w:rFonts w:ascii="Arial" w:hAnsi="Arial" w:cs="Arial"/>
          <w:szCs w:val="22"/>
        </w:rPr>
        <w:t>,</w:t>
      </w:r>
      <w:r w:rsidR="00464685" w:rsidRPr="007415B4">
        <w:rPr>
          <w:rFonts w:ascii="Arial" w:hAnsi="Arial" w:cs="Arial"/>
          <w:szCs w:val="22"/>
        </w:rPr>
        <w:t>2</w:t>
      </w:r>
      <w:r w:rsidRPr="007415B4">
        <w:rPr>
          <w:rFonts w:ascii="Arial" w:hAnsi="Arial" w:cs="Arial"/>
          <w:szCs w:val="22"/>
        </w:rPr>
        <w:t xml:space="preserve"> млн. руб.</w:t>
      </w:r>
    </w:p>
    <w:p w:rsidR="002F50C1" w:rsidRPr="00545C7B" w:rsidRDefault="002F50C1" w:rsidP="00100203">
      <w:pPr>
        <w:pStyle w:val="a5"/>
        <w:spacing w:before="120" w:after="120"/>
        <w:ind w:firstLine="709"/>
        <w:rPr>
          <w:rFonts w:ascii="Arial" w:hAnsi="Arial" w:cs="Arial"/>
          <w:szCs w:val="22"/>
        </w:rPr>
      </w:pPr>
      <w:r w:rsidRPr="00464685">
        <w:rPr>
          <w:rFonts w:ascii="Arial" w:hAnsi="Arial" w:cs="Arial"/>
          <w:szCs w:val="22"/>
        </w:rPr>
        <w:t xml:space="preserve">Предприятием своевременно производятся отчисления по налогам и </w:t>
      </w:r>
      <w:r w:rsidR="0079710D" w:rsidRPr="00464685">
        <w:rPr>
          <w:rFonts w:ascii="Arial" w:hAnsi="Arial" w:cs="Arial"/>
          <w:szCs w:val="22"/>
        </w:rPr>
        <w:t xml:space="preserve">сборам </w:t>
      </w:r>
      <w:r w:rsidRPr="00464685">
        <w:rPr>
          <w:rFonts w:ascii="Arial" w:hAnsi="Arial" w:cs="Arial"/>
          <w:szCs w:val="22"/>
        </w:rPr>
        <w:t>в бюджеты всех уровней.</w:t>
      </w:r>
      <w:r w:rsidRPr="00E3415F">
        <w:rPr>
          <w:rFonts w:ascii="Arial" w:hAnsi="Arial" w:cs="Arial"/>
          <w:szCs w:val="22"/>
        </w:rPr>
        <w:t xml:space="preserve"> </w:t>
      </w:r>
    </w:p>
    <w:p w:rsidR="00FE3044" w:rsidRPr="00076FD1" w:rsidRDefault="00FE3044" w:rsidP="00530215">
      <w:pPr>
        <w:pStyle w:val="2"/>
        <w:spacing w:before="120" w:after="120"/>
        <w:rPr>
          <w:rFonts w:ascii="Arial" w:hAnsi="Arial" w:cs="Arial"/>
          <w:i/>
          <w:color w:val="auto"/>
          <w:sz w:val="28"/>
        </w:rPr>
      </w:pPr>
      <w:bookmarkStart w:id="28" w:name="_Toc415487677"/>
      <w:bookmarkStart w:id="29" w:name="_Toc100678746"/>
      <w:r w:rsidRPr="0060465E">
        <w:rPr>
          <w:rFonts w:ascii="Arial" w:hAnsi="Arial" w:cs="Arial"/>
          <w:i/>
          <w:color w:val="auto"/>
          <w:sz w:val="28"/>
        </w:rPr>
        <w:t>Анализ годовой бухгалтерской отчетности</w:t>
      </w:r>
      <w:bookmarkEnd w:id="28"/>
      <w:bookmarkEnd w:id="29"/>
    </w:p>
    <w:p w:rsidR="00E226E0" w:rsidRPr="00BC5559" w:rsidRDefault="00E226E0" w:rsidP="00E226E0">
      <w:pPr>
        <w:pStyle w:val="a5"/>
        <w:spacing w:before="120" w:after="120"/>
        <w:ind w:firstLine="709"/>
        <w:rPr>
          <w:rFonts w:ascii="Arial" w:hAnsi="Arial" w:cs="Arial"/>
          <w:bCs/>
          <w:iCs/>
          <w:szCs w:val="22"/>
        </w:rPr>
      </w:pPr>
      <w:r w:rsidRPr="00DC4ECF">
        <w:rPr>
          <w:rFonts w:ascii="Arial" w:hAnsi="Arial" w:cs="Arial"/>
          <w:bCs/>
          <w:iCs/>
          <w:szCs w:val="22"/>
        </w:rPr>
        <w:t>В 20</w:t>
      </w:r>
      <w:r w:rsidR="003139E2">
        <w:rPr>
          <w:rFonts w:ascii="Arial" w:hAnsi="Arial" w:cs="Arial"/>
          <w:bCs/>
          <w:iCs/>
          <w:szCs w:val="22"/>
        </w:rPr>
        <w:t>2</w:t>
      </w:r>
      <w:r w:rsidR="001A444C">
        <w:rPr>
          <w:rFonts w:ascii="Arial" w:hAnsi="Arial" w:cs="Arial"/>
          <w:bCs/>
          <w:iCs/>
          <w:szCs w:val="22"/>
        </w:rPr>
        <w:t>1</w:t>
      </w:r>
      <w:r w:rsidRPr="00DC4ECF">
        <w:rPr>
          <w:rFonts w:ascii="Arial" w:hAnsi="Arial" w:cs="Arial"/>
          <w:bCs/>
          <w:iCs/>
          <w:szCs w:val="22"/>
        </w:rPr>
        <w:t xml:space="preserve"> го</w:t>
      </w:r>
      <w:r w:rsidR="0079710D">
        <w:rPr>
          <w:rFonts w:ascii="Arial" w:hAnsi="Arial" w:cs="Arial"/>
          <w:bCs/>
          <w:iCs/>
          <w:szCs w:val="22"/>
        </w:rPr>
        <w:t xml:space="preserve">ду выручка ПАО «КМЗ» составила </w:t>
      </w:r>
      <w:r w:rsidR="001A444C">
        <w:rPr>
          <w:rFonts w:ascii="Arial" w:hAnsi="Arial" w:cs="Arial"/>
          <w:bCs/>
          <w:iCs/>
          <w:szCs w:val="22"/>
        </w:rPr>
        <w:t>23</w:t>
      </w:r>
      <w:r w:rsidR="005A2A13" w:rsidRPr="00DC4ECF">
        <w:rPr>
          <w:rFonts w:ascii="Arial" w:hAnsi="Arial" w:cs="Arial"/>
          <w:bCs/>
          <w:iCs/>
          <w:szCs w:val="22"/>
        </w:rPr>
        <w:t> </w:t>
      </w:r>
      <w:r w:rsidR="001A444C">
        <w:rPr>
          <w:rFonts w:ascii="Arial" w:hAnsi="Arial" w:cs="Arial"/>
          <w:bCs/>
          <w:iCs/>
          <w:szCs w:val="22"/>
        </w:rPr>
        <w:t>448</w:t>
      </w:r>
      <w:r w:rsidR="005A2A13" w:rsidRPr="00DC4ECF">
        <w:rPr>
          <w:rFonts w:ascii="Arial" w:hAnsi="Arial" w:cs="Arial"/>
          <w:bCs/>
          <w:iCs/>
          <w:szCs w:val="22"/>
        </w:rPr>
        <w:t xml:space="preserve"> </w:t>
      </w:r>
      <w:r w:rsidR="003139E2">
        <w:rPr>
          <w:rFonts w:ascii="Arial" w:hAnsi="Arial" w:cs="Arial"/>
          <w:bCs/>
          <w:iCs/>
          <w:szCs w:val="22"/>
        </w:rPr>
        <w:t>1</w:t>
      </w:r>
      <w:r w:rsidR="001A444C">
        <w:rPr>
          <w:rFonts w:ascii="Arial" w:hAnsi="Arial" w:cs="Arial"/>
          <w:bCs/>
          <w:iCs/>
          <w:szCs w:val="22"/>
        </w:rPr>
        <w:t>02</w:t>
      </w:r>
      <w:r w:rsidRPr="00DC4ECF">
        <w:rPr>
          <w:rFonts w:ascii="Arial" w:hAnsi="Arial" w:cs="Arial"/>
          <w:bCs/>
          <w:iCs/>
          <w:szCs w:val="22"/>
        </w:rPr>
        <w:t xml:space="preserve"> тыс. руб. без НДС, </w:t>
      </w:r>
      <w:r w:rsidRPr="00AD2D11">
        <w:rPr>
          <w:rFonts w:ascii="Arial" w:hAnsi="Arial" w:cs="Arial"/>
          <w:bCs/>
          <w:iCs/>
          <w:szCs w:val="22"/>
        </w:rPr>
        <w:t xml:space="preserve">что </w:t>
      </w:r>
      <w:r w:rsidR="005A2A13" w:rsidRPr="00AD2D11">
        <w:rPr>
          <w:rFonts w:ascii="Arial" w:hAnsi="Arial" w:cs="Arial"/>
          <w:bCs/>
          <w:iCs/>
          <w:szCs w:val="22"/>
        </w:rPr>
        <w:t>выш</w:t>
      </w:r>
      <w:r w:rsidRPr="00AD2D11">
        <w:rPr>
          <w:rFonts w:ascii="Arial" w:hAnsi="Arial" w:cs="Arial"/>
          <w:bCs/>
          <w:iCs/>
          <w:szCs w:val="22"/>
        </w:rPr>
        <w:t>е аналогичного показателя 20</w:t>
      </w:r>
      <w:r w:rsidR="001A444C">
        <w:rPr>
          <w:rFonts w:ascii="Arial" w:hAnsi="Arial" w:cs="Arial"/>
          <w:bCs/>
          <w:iCs/>
          <w:szCs w:val="22"/>
        </w:rPr>
        <w:t>20</w:t>
      </w:r>
      <w:r w:rsidRPr="00AD2D11">
        <w:rPr>
          <w:rFonts w:ascii="Arial" w:hAnsi="Arial" w:cs="Arial"/>
          <w:bCs/>
          <w:iCs/>
          <w:szCs w:val="22"/>
        </w:rPr>
        <w:t xml:space="preserve"> года на </w:t>
      </w:r>
      <w:r w:rsidR="001A444C">
        <w:rPr>
          <w:rFonts w:ascii="Arial" w:hAnsi="Arial" w:cs="Arial"/>
          <w:bCs/>
          <w:iCs/>
          <w:szCs w:val="22"/>
        </w:rPr>
        <w:t>54</w:t>
      </w:r>
      <w:r w:rsidRPr="00AD2D11">
        <w:rPr>
          <w:rFonts w:ascii="Arial" w:hAnsi="Arial" w:cs="Arial"/>
          <w:bCs/>
          <w:iCs/>
          <w:szCs w:val="22"/>
        </w:rPr>
        <w:t>,</w:t>
      </w:r>
      <w:r w:rsidR="001A444C">
        <w:rPr>
          <w:rFonts w:ascii="Arial" w:hAnsi="Arial" w:cs="Arial"/>
          <w:bCs/>
          <w:iCs/>
          <w:szCs w:val="22"/>
        </w:rPr>
        <w:t>23</w:t>
      </w:r>
      <w:r w:rsidRPr="00AD2D11">
        <w:rPr>
          <w:rFonts w:ascii="Arial" w:hAnsi="Arial" w:cs="Arial"/>
          <w:bCs/>
          <w:iCs/>
          <w:szCs w:val="22"/>
        </w:rPr>
        <w:t xml:space="preserve">%.  </w:t>
      </w:r>
      <w:r w:rsidRPr="008E68CC">
        <w:rPr>
          <w:rFonts w:ascii="Arial" w:hAnsi="Arial" w:cs="Arial"/>
          <w:bCs/>
          <w:iCs/>
          <w:szCs w:val="22"/>
        </w:rPr>
        <w:t>Себестоимость продаж основной продукции за 20</w:t>
      </w:r>
      <w:r w:rsidR="003139E2">
        <w:rPr>
          <w:rFonts w:ascii="Arial" w:hAnsi="Arial" w:cs="Arial"/>
          <w:bCs/>
          <w:iCs/>
          <w:szCs w:val="22"/>
        </w:rPr>
        <w:t>2</w:t>
      </w:r>
      <w:r w:rsidR="001A444C">
        <w:rPr>
          <w:rFonts w:ascii="Arial" w:hAnsi="Arial" w:cs="Arial"/>
          <w:bCs/>
          <w:iCs/>
          <w:szCs w:val="22"/>
        </w:rPr>
        <w:t>1</w:t>
      </w:r>
      <w:r w:rsidRPr="008E68CC">
        <w:rPr>
          <w:rFonts w:ascii="Arial" w:hAnsi="Arial" w:cs="Arial"/>
          <w:bCs/>
          <w:iCs/>
          <w:szCs w:val="22"/>
        </w:rPr>
        <w:t xml:space="preserve"> год </w:t>
      </w:r>
      <w:r w:rsidR="005A2A13" w:rsidRPr="008E68CC">
        <w:rPr>
          <w:rFonts w:ascii="Arial" w:hAnsi="Arial" w:cs="Arial"/>
          <w:bCs/>
          <w:iCs/>
          <w:szCs w:val="22"/>
        </w:rPr>
        <w:t>увеличилась</w:t>
      </w:r>
      <w:r w:rsidRPr="008E68CC">
        <w:rPr>
          <w:rFonts w:ascii="Arial" w:hAnsi="Arial" w:cs="Arial"/>
          <w:bCs/>
          <w:iCs/>
          <w:szCs w:val="22"/>
        </w:rPr>
        <w:t xml:space="preserve"> по сравнению с 20</w:t>
      </w:r>
      <w:r w:rsidR="001A444C">
        <w:rPr>
          <w:rFonts w:ascii="Arial" w:hAnsi="Arial" w:cs="Arial"/>
          <w:bCs/>
          <w:iCs/>
          <w:szCs w:val="22"/>
        </w:rPr>
        <w:t>20</w:t>
      </w:r>
      <w:r w:rsidR="00334C5D">
        <w:rPr>
          <w:rFonts w:ascii="Arial" w:hAnsi="Arial" w:cs="Arial"/>
          <w:bCs/>
          <w:iCs/>
          <w:szCs w:val="22"/>
        </w:rPr>
        <w:t xml:space="preserve"> годом на </w:t>
      </w:r>
      <w:r w:rsidR="001A444C">
        <w:rPr>
          <w:rFonts w:ascii="Arial" w:hAnsi="Arial" w:cs="Arial"/>
          <w:bCs/>
          <w:iCs/>
          <w:szCs w:val="22"/>
        </w:rPr>
        <w:t>50</w:t>
      </w:r>
      <w:r w:rsidR="00334C5D">
        <w:rPr>
          <w:rFonts w:ascii="Arial" w:hAnsi="Arial" w:cs="Arial"/>
          <w:bCs/>
          <w:iCs/>
          <w:szCs w:val="22"/>
        </w:rPr>
        <w:t>,</w:t>
      </w:r>
      <w:r w:rsidR="001A444C">
        <w:rPr>
          <w:rFonts w:ascii="Arial" w:hAnsi="Arial" w:cs="Arial"/>
          <w:bCs/>
          <w:iCs/>
          <w:szCs w:val="22"/>
        </w:rPr>
        <w:t>70</w:t>
      </w:r>
      <w:r w:rsidR="00334C5D">
        <w:rPr>
          <w:rFonts w:ascii="Arial" w:hAnsi="Arial" w:cs="Arial"/>
          <w:bCs/>
          <w:iCs/>
          <w:szCs w:val="22"/>
        </w:rPr>
        <w:t>%,</w:t>
      </w:r>
      <w:r w:rsidRPr="008E68CC">
        <w:rPr>
          <w:rFonts w:ascii="Arial" w:hAnsi="Arial" w:cs="Arial"/>
          <w:bCs/>
          <w:iCs/>
          <w:szCs w:val="22"/>
        </w:rPr>
        <w:t xml:space="preserve"> составив </w:t>
      </w:r>
      <w:r w:rsidR="001A444C">
        <w:rPr>
          <w:rFonts w:ascii="Arial" w:hAnsi="Arial" w:cs="Arial"/>
          <w:bCs/>
          <w:iCs/>
          <w:szCs w:val="22"/>
        </w:rPr>
        <w:t>21</w:t>
      </w:r>
      <w:r w:rsidR="005A2A13" w:rsidRPr="008E68CC">
        <w:rPr>
          <w:rFonts w:ascii="Arial" w:hAnsi="Arial" w:cs="Arial"/>
          <w:bCs/>
          <w:iCs/>
          <w:szCs w:val="22"/>
        </w:rPr>
        <w:t> </w:t>
      </w:r>
      <w:r w:rsidR="001A444C">
        <w:rPr>
          <w:rFonts w:ascii="Arial" w:hAnsi="Arial" w:cs="Arial"/>
          <w:bCs/>
          <w:iCs/>
          <w:szCs w:val="22"/>
        </w:rPr>
        <w:t>077</w:t>
      </w:r>
      <w:r w:rsidR="005A2A13" w:rsidRPr="008E68CC">
        <w:rPr>
          <w:rFonts w:ascii="Arial" w:hAnsi="Arial" w:cs="Arial"/>
          <w:bCs/>
          <w:iCs/>
          <w:szCs w:val="22"/>
        </w:rPr>
        <w:t xml:space="preserve"> </w:t>
      </w:r>
      <w:r w:rsidR="001A444C">
        <w:rPr>
          <w:rFonts w:ascii="Arial" w:hAnsi="Arial" w:cs="Arial"/>
          <w:bCs/>
          <w:iCs/>
          <w:szCs w:val="22"/>
        </w:rPr>
        <w:t>280</w:t>
      </w:r>
      <w:r w:rsidRPr="008E68CC">
        <w:rPr>
          <w:rFonts w:ascii="Arial" w:hAnsi="Arial" w:cs="Arial"/>
          <w:bCs/>
          <w:iCs/>
          <w:szCs w:val="22"/>
        </w:rPr>
        <w:t xml:space="preserve"> тыс. руб. против </w:t>
      </w:r>
      <w:r w:rsidR="001D480A" w:rsidRPr="001D480A">
        <w:rPr>
          <w:rFonts w:ascii="Arial" w:hAnsi="Arial" w:cs="Arial"/>
          <w:bCs/>
          <w:iCs/>
          <w:szCs w:val="22"/>
        </w:rPr>
        <w:t>1</w:t>
      </w:r>
      <w:r w:rsidR="003139E2">
        <w:rPr>
          <w:rFonts w:ascii="Arial" w:hAnsi="Arial" w:cs="Arial"/>
          <w:bCs/>
          <w:iCs/>
          <w:szCs w:val="22"/>
        </w:rPr>
        <w:t>3</w:t>
      </w:r>
      <w:r w:rsidR="005A2A13" w:rsidRPr="008E68CC">
        <w:rPr>
          <w:rFonts w:ascii="Arial" w:hAnsi="Arial" w:cs="Arial"/>
          <w:bCs/>
          <w:iCs/>
          <w:szCs w:val="22"/>
        </w:rPr>
        <w:t> </w:t>
      </w:r>
      <w:r w:rsidR="001A444C">
        <w:rPr>
          <w:rFonts w:ascii="Arial" w:hAnsi="Arial" w:cs="Arial"/>
          <w:bCs/>
          <w:iCs/>
          <w:szCs w:val="22"/>
        </w:rPr>
        <w:t>986</w:t>
      </w:r>
      <w:r w:rsidR="005A2A13" w:rsidRPr="008E68CC">
        <w:rPr>
          <w:rFonts w:ascii="Arial" w:hAnsi="Arial" w:cs="Arial"/>
          <w:bCs/>
          <w:iCs/>
          <w:szCs w:val="22"/>
        </w:rPr>
        <w:t xml:space="preserve"> </w:t>
      </w:r>
      <w:r w:rsidR="001A444C">
        <w:rPr>
          <w:rFonts w:ascii="Arial" w:hAnsi="Arial" w:cs="Arial"/>
          <w:bCs/>
          <w:iCs/>
          <w:szCs w:val="22"/>
        </w:rPr>
        <w:t>595</w:t>
      </w:r>
      <w:r w:rsidRPr="008E68CC">
        <w:rPr>
          <w:rFonts w:ascii="Arial" w:hAnsi="Arial" w:cs="Arial"/>
          <w:bCs/>
          <w:iCs/>
          <w:szCs w:val="22"/>
        </w:rPr>
        <w:t xml:space="preserve"> тыс. руб</w:t>
      </w:r>
      <w:r w:rsidR="00334C5D">
        <w:rPr>
          <w:rFonts w:ascii="Arial" w:hAnsi="Arial" w:cs="Arial"/>
          <w:bCs/>
          <w:iCs/>
          <w:szCs w:val="22"/>
        </w:rPr>
        <w:t>.</w:t>
      </w:r>
    </w:p>
    <w:p w:rsidR="00E226E0" w:rsidRPr="00BC5559" w:rsidRDefault="00E226E0" w:rsidP="00E226E0">
      <w:pPr>
        <w:pStyle w:val="a5"/>
        <w:spacing w:before="120" w:after="120"/>
        <w:ind w:firstLine="709"/>
        <w:rPr>
          <w:rFonts w:ascii="Arial" w:hAnsi="Arial" w:cs="Arial"/>
          <w:bCs/>
          <w:iCs/>
          <w:szCs w:val="22"/>
        </w:rPr>
      </w:pPr>
      <w:r w:rsidRPr="00BC5559">
        <w:rPr>
          <w:rFonts w:ascii="Arial" w:hAnsi="Arial" w:cs="Arial"/>
          <w:bCs/>
          <w:szCs w:val="22"/>
        </w:rPr>
        <w:lastRenderedPageBreak/>
        <w:t xml:space="preserve">Значение </w:t>
      </w:r>
      <w:r w:rsidR="00FC2B6D" w:rsidRPr="00FC2B6D">
        <w:rPr>
          <w:rFonts w:ascii="Arial" w:hAnsi="Arial" w:cs="Arial"/>
          <w:bCs/>
          <w:szCs w:val="22"/>
        </w:rPr>
        <w:t xml:space="preserve">    </w:t>
      </w:r>
      <w:r w:rsidRPr="00BC5559">
        <w:rPr>
          <w:rFonts w:ascii="Arial" w:hAnsi="Arial" w:cs="Arial"/>
          <w:bCs/>
          <w:szCs w:val="22"/>
        </w:rPr>
        <w:t>показателя</w:t>
      </w:r>
      <w:r w:rsidR="00FC2B6D" w:rsidRPr="00FC2B6D">
        <w:rPr>
          <w:rFonts w:ascii="Arial" w:hAnsi="Arial" w:cs="Arial"/>
          <w:bCs/>
          <w:szCs w:val="22"/>
        </w:rPr>
        <w:t xml:space="preserve">     </w:t>
      </w:r>
      <w:r w:rsidRPr="00BC5559">
        <w:rPr>
          <w:rFonts w:ascii="Arial" w:hAnsi="Arial" w:cs="Arial"/>
          <w:szCs w:val="22"/>
        </w:rPr>
        <w:t xml:space="preserve"> валовой</w:t>
      </w:r>
      <w:r w:rsidR="00FC2B6D" w:rsidRPr="00FC2B6D">
        <w:rPr>
          <w:rFonts w:ascii="Arial" w:hAnsi="Arial" w:cs="Arial"/>
          <w:szCs w:val="22"/>
        </w:rPr>
        <w:t xml:space="preserve">  </w:t>
      </w:r>
      <w:r w:rsidRPr="00BC5559">
        <w:rPr>
          <w:rFonts w:ascii="Arial" w:hAnsi="Arial" w:cs="Arial"/>
          <w:szCs w:val="22"/>
        </w:rPr>
        <w:t xml:space="preserve"> прибыли в 20</w:t>
      </w:r>
      <w:r w:rsidR="00334C5D">
        <w:rPr>
          <w:rFonts w:ascii="Arial" w:hAnsi="Arial" w:cs="Arial"/>
          <w:szCs w:val="22"/>
        </w:rPr>
        <w:t>2</w:t>
      </w:r>
      <w:r w:rsidR="001A444C">
        <w:rPr>
          <w:rFonts w:ascii="Arial" w:hAnsi="Arial" w:cs="Arial"/>
          <w:szCs w:val="22"/>
        </w:rPr>
        <w:t>1</w:t>
      </w:r>
      <w:r w:rsidRPr="00BC5559">
        <w:rPr>
          <w:rFonts w:ascii="Arial" w:hAnsi="Arial" w:cs="Arial"/>
          <w:szCs w:val="22"/>
        </w:rPr>
        <w:t xml:space="preserve"> </w:t>
      </w:r>
      <w:r w:rsidR="00FC2B6D" w:rsidRPr="00FC2B6D">
        <w:rPr>
          <w:rFonts w:ascii="Arial" w:hAnsi="Arial" w:cs="Arial"/>
          <w:szCs w:val="22"/>
        </w:rPr>
        <w:t xml:space="preserve">  </w:t>
      </w:r>
      <w:r w:rsidRPr="00BC5559">
        <w:rPr>
          <w:rFonts w:ascii="Arial" w:hAnsi="Arial" w:cs="Arial"/>
          <w:szCs w:val="22"/>
        </w:rPr>
        <w:t xml:space="preserve">году </w:t>
      </w:r>
      <w:r w:rsidR="00FC2B6D" w:rsidRPr="00FC2B6D">
        <w:rPr>
          <w:rFonts w:ascii="Arial" w:hAnsi="Arial" w:cs="Arial"/>
          <w:szCs w:val="22"/>
        </w:rPr>
        <w:t xml:space="preserve">   </w:t>
      </w:r>
      <w:r w:rsidRPr="00BC5559">
        <w:rPr>
          <w:rFonts w:ascii="Arial" w:hAnsi="Arial" w:cs="Arial"/>
          <w:szCs w:val="22"/>
        </w:rPr>
        <w:t xml:space="preserve">составило </w:t>
      </w:r>
      <w:r w:rsidR="001A444C">
        <w:rPr>
          <w:rFonts w:ascii="Arial" w:hAnsi="Arial" w:cs="Arial"/>
          <w:szCs w:val="22"/>
        </w:rPr>
        <w:t>2</w:t>
      </w:r>
      <w:r w:rsidR="005A2A13" w:rsidRPr="00BC5559">
        <w:rPr>
          <w:rFonts w:ascii="Arial" w:hAnsi="Arial" w:cs="Arial"/>
          <w:szCs w:val="22"/>
        </w:rPr>
        <w:t> </w:t>
      </w:r>
      <w:r w:rsidR="001A444C">
        <w:rPr>
          <w:rFonts w:ascii="Arial" w:hAnsi="Arial" w:cs="Arial"/>
          <w:szCs w:val="22"/>
        </w:rPr>
        <w:t>370</w:t>
      </w:r>
      <w:r w:rsidR="005A2A13" w:rsidRPr="00BC5559">
        <w:rPr>
          <w:rFonts w:ascii="Arial" w:hAnsi="Arial" w:cs="Arial"/>
          <w:szCs w:val="22"/>
        </w:rPr>
        <w:t xml:space="preserve"> </w:t>
      </w:r>
      <w:r w:rsidR="001A444C">
        <w:rPr>
          <w:rFonts w:ascii="Arial" w:hAnsi="Arial" w:cs="Arial"/>
          <w:szCs w:val="22"/>
        </w:rPr>
        <w:t>822</w:t>
      </w:r>
      <w:r w:rsidRPr="00BC5559">
        <w:rPr>
          <w:rFonts w:ascii="Arial" w:hAnsi="Arial" w:cs="Arial"/>
          <w:sz w:val="28"/>
        </w:rPr>
        <w:t xml:space="preserve"> </w:t>
      </w:r>
      <w:r w:rsidRPr="00BC5559">
        <w:rPr>
          <w:rFonts w:ascii="Arial" w:hAnsi="Arial" w:cs="Arial"/>
          <w:szCs w:val="22"/>
        </w:rPr>
        <w:t xml:space="preserve">тыс. руб. против </w:t>
      </w:r>
      <w:r w:rsidR="001A444C" w:rsidRPr="00BC5559">
        <w:rPr>
          <w:rFonts w:ascii="Arial" w:hAnsi="Arial" w:cs="Arial"/>
          <w:szCs w:val="22"/>
        </w:rPr>
        <w:t>1 </w:t>
      </w:r>
      <w:r w:rsidR="001A444C">
        <w:rPr>
          <w:rFonts w:ascii="Arial" w:hAnsi="Arial" w:cs="Arial"/>
          <w:szCs w:val="22"/>
        </w:rPr>
        <w:t>216</w:t>
      </w:r>
      <w:r w:rsidR="001A444C" w:rsidRPr="00BC5559">
        <w:rPr>
          <w:rFonts w:ascii="Arial" w:hAnsi="Arial" w:cs="Arial"/>
          <w:szCs w:val="22"/>
        </w:rPr>
        <w:t xml:space="preserve"> </w:t>
      </w:r>
      <w:r w:rsidR="001A444C">
        <w:rPr>
          <w:rFonts w:ascii="Arial" w:hAnsi="Arial" w:cs="Arial"/>
          <w:szCs w:val="22"/>
        </w:rPr>
        <w:t>545</w:t>
      </w:r>
      <w:r w:rsidR="00BC5559" w:rsidRPr="00BC5559">
        <w:rPr>
          <w:rFonts w:ascii="Arial" w:hAnsi="Arial" w:cs="Arial"/>
          <w:sz w:val="28"/>
        </w:rPr>
        <w:t xml:space="preserve"> </w:t>
      </w:r>
      <w:r w:rsidRPr="00BC5559">
        <w:rPr>
          <w:rFonts w:ascii="Arial" w:hAnsi="Arial" w:cs="Arial"/>
          <w:szCs w:val="22"/>
        </w:rPr>
        <w:t>тыс. руб. в 20</w:t>
      </w:r>
      <w:r w:rsidR="001A444C">
        <w:rPr>
          <w:rFonts w:ascii="Arial" w:hAnsi="Arial" w:cs="Arial"/>
          <w:szCs w:val="22"/>
        </w:rPr>
        <w:t>20</w:t>
      </w:r>
      <w:r w:rsidRPr="00BC5559">
        <w:rPr>
          <w:rFonts w:ascii="Arial" w:hAnsi="Arial" w:cs="Arial"/>
          <w:szCs w:val="22"/>
        </w:rPr>
        <w:t xml:space="preserve"> году. </w:t>
      </w:r>
    </w:p>
    <w:p w:rsidR="00413907" w:rsidRPr="003B5110" w:rsidRDefault="00413907" w:rsidP="005D1769">
      <w:pPr>
        <w:pStyle w:val="a5"/>
        <w:ind w:firstLine="709"/>
        <w:jc w:val="center"/>
        <w:rPr>
          <w:rFonts w:ascii="Arial" w:hAnsi="Arial" w:cs="Arial"/>
          <w:bCs/>
          <w:i/>
          <w:szCs w:val="22"/>
        </w:rPr>
      </w:pPr>
      <w:r w:rsidRPr="003B5110">
        <w:rPr>
          <w:rFonts w:ascii="Arial" w:hAnsi="Arial" w:cs="Arial"/>
          <w:bCs/>
          <w:i/>
          <w:szCs w:val="22"/>
        </w:rPr>
        <w:t>Таблица 1</w:t>
      </w:r>
      <w:r w:rsidR="006B7CE0">
        <w:rPr>
          <w:rFonts w:ascii="Arial" w:hAnsi="Arial" w:cs="Arial"/>
          <w:bCs/>
          <w:i/>
          <w:szCs w:val="22"/>
        </w:rPr>
        <w:t>0</w:t>
      </w:r>
      <w:r w:rsidRPr="003B5110">
        <w:rPr>
          <w:rFonts w:ascii="Arial" w:hAnsi="Arial" w:cs="Arial"/>
          <w:bCs/>
          <w:i/>
          <w:szCs w:val="22"/>
        </w:rPr>
        <w:t>. Отчет о финансовых результатах</w:t>
      </w:r>
    </w:p>
    <w:p w:rsidR="00413907" w:rsidRDefault="00413907" w:rsidP="005D1769">
      <w:pPr>
        <w:pStyle w:val="a5"/>
        <w:ind w:firstLine="709"/>
        <w:jc w:val="right"/>
        <w:rPr>
          <w:rFonts w:ascii="Arial" w:hAnsi="Arial" w:cs="Arial"/>
          <w:bCs/>
          <w:i/>
          <w:sz w:val="16"/>
          <w:szCs w:val="22"/>
        </w:rPr>
      </w:pPr>
      <w:r w:rsidRPr="003B5110">
        <w:rPr>
          <w:rFonts w:ascii="Arial" w:hAnsi="Arial" w:cs="Arial"/>
          <w:bCs/>
          <w:i/>
          <w:sz w:val="16"/>
          <w:szCs w:val="22"/>
        </w:rPr>
        <w:t>(тыс.</w:t>
      </w:r>
      <w:r w:rsidR="00454E76" w:rsidRPr="003B5110">
        <w:rPr>
          <w:rFonts w:ascii="Arial" w:hAnsi="Arial" w:cs="Arial"/>
          <w:bCs/>
          <w:i/>
          <w:sz w:val="16"/>
          <w:szCs w:val="22"/>
        </w:rPr>
        <w:t xml:space="preserve"> </w:t>
      </w:r>
      <w:r w:rsidRPr="003B5110">
        <w:rPr>
          <w:rFonts w:ascii="Arial" w:hAnsi="Arial" w:cs="Arial"/>
          <w:bCs/>
          <w:i/>
          <w:sz w:val="16"/>
          <w:szCs w:val="22"/>
        </w:rPr>
        <w:t>руб.)</w:t>
      </w:r>
    </w:p>
    <w:tbl>
      <w:tblPr>
        <w:tblW w:w="9918" w:type="dxa"/>
        <w:tblLook w:val="04A0"/>
      </w:tblPr>
      <w:tblGrid>
        <w:gridCol w:w="3256"/>
        <w:gridCol w:w="1375"/>
        <w:gridCol w:w="1885"/>
        <w:gridCol w:w="1701"/>
        <w:gridCol w:w="1701"/>
      </w:tblGrid>
      <w:tr w:rsidR="007C3F55" w:rsidRPr="007C3F55" w:rsidTr="007C3F55">
        <w:trPr>
          <w:trHeight w:val="20"/>
        </w:trPr>
        <w:tc>
          <w:tcPr>
            <w:tcW w:w="3256" w:type="dxa"/>
            <w:tcBorders>
              <w:top w:val="single" w:sz="4" w:space="0" w:color="auto"/>
              <w:left w:val="single" w:sz="4" w:space="0" w:color="auto"/>
              <w:bottom w:val="single" w:sz="4" w:space="0" w:color="auto"/>
              <w:right w:val="single" w:sz="4" w:space="0" w:color="auto"/>
            </w:tcBorders>
            <w:shd w:val="clear" w:color="000000" w:fill="C6D9F1"/>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Показатель</w:t>
            </w:r>
          </w:p>
        </w:tc>
        <w:tc>
          <w:tcPr>
            <w:tcW w:w="1375" w:type="dxa"/>
            <w:tcBorders>
              <w:top w:val="single" w:sz="4" w:space="0" w:color="auto"/>
              <w:left w:val="nil"/>
              <w:bottom w:val="single" w:sz="4" w:space="0" w:color="auto"/>
              <w:right w:val="single" w:sz="4" w:space="0" w:color="auto"/>
            </w:tcBorders>
            <w:shd w:val="clear" w:color="000000" w:fill="C6D9F1"/>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Код строки</w:t>
            </w:r>
          </w:p>
        </w:tc>
        <w:tc>
          <w:tcPr>
            <w:tcW w:w="1885" w:type="dxa"/>
            <w:tcBorders>
              <w:top w:val="single" w:sz="4" w:space="0" w:color="auto"/>
              <w:left w:val="nil"/>
              <w:bottom w:val="single" w:sz="4" w:space="0" w:color="auto"/>
              <w:right w:val="single" w:sz="4" w:space="0" w:color="auto"/>
            </w:tcBorders>
            <w:shd w:val="clear" w:color="000000" w:fill="C6D9F1"/>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2021</w:t>
            </w:r>
          </w:p>
        </w:tc>
        <w:tc>
          <w:tcPr>
            <w:tcW w:w="1701" w:type="dxa"/>
            <w:tcBorders>
              <w:top w:val="single" w:sz="4" w:space="0" w:color="auto"/>
              <w:left w:val="nil"/>
              <w:bottom w:val="single" w:sz="4" w:space="0" w:color="auto"/>
              <w:right w:val="single" w:sz="4" w:space="0" w:color="auto"/>
            </w:tcBorders>
            <w:shd w:val="clear" w:color="000000" w:fill="C6D9F1"/>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2020</w:t>
            </w:r>
          </w:p>
        </w:tc>
        <w:tc>
          <w:tcPr>
            <w:tcW w:w="1701" w:type="dxa"/>
            <w:tcBorders>
              <w:top w:val="single" w:sz="4" w:space="0" w:color="auto"/>
              <w:left w:val="nil"/>
              <w:bottom w:val="single" w:sz="4" w:space="0" w:color="auto"/>
              <w:right w:val="single" w:sz="4" w:space="0" w:color="auto"/>
            </w:tcBorders>
            <w:shd w:val="clear" w:color="000000" w:fill="C6D9F1"/>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Темп прироста, %</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FFFFFF"/>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1</w:t>
            </w:r>
          </w:p>
        </w:tc>
        <w:tc>
          <w:tcPr>
            <w:tcW w:w="1375" w:type="dxa"/>
            <w:tcBorders>
              <w:top w:val="nil"/>
              <w:left w:val="nil"/>
              <w:bottom w:val="single" w:sz="4" w:space="0" w:color="auto"/>
              <w:right w:val="single" w:sz="4" w:space="0" w:color="auto"/>
            </w:tcBorders>
            <w:shd w:val="clear" w:color="000000" w:fill="FFFFFF"/>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w:t>
            </w:r>
          </w:p>
        </w:tc>
        <w:tc>
          <w:tcPr>
            <w:tcW w:w="1885" w:type="dxa"/>
            <w:tcBorders>
              <w:top w:val="nil"/>
              <w:left w:val="nil"/>
              <w:bottom w:val="single" w:sz="4" w:space="0" w:color="auto"/>
              <w:right w:val="single" w:sz="4" w:space="0" w:color="auto"/>
            </w:tcBorders>
            <w:shd w:val="clear" w:color="000000" w:fill="FFFFFF"/>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3</w:t>
            </w:r>
          </w:p>
        </w:tc>
        <w:tc>
          <w:tcPr>
            <w:tcW w:w="1701" w:type="dxa"/>
            <w:tcBorders>
              <w:top w:val="nil"/>
              <w:left w:val="nil"/>
              <w:bottom w:val="single" w:sz="4" w:space="0" w:color="auto"/>
              <w:right w:val="single" w:sz="4" w:space="0" w:color="auto"/>
            </w:tcBorders>
            <w:shd w:val="clear" w:color="000000" w:fill="FFFFFF"/>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4</w:t>
            </w:r>
          </w:p>
        </w:tc>
        <w:tc>
          <w:tcPr>
            <w:tcW w:w="1701" w:type="dxa"/>
            <w:tcBorders>
              <w:top w:val="nil"/>
              <w:left w:val="nil"/>
              <w:bottom w:val="single" w:sz="4" w:space="0" w:color="auto"/>
              <w:right w:val="single" w:sz="4" w:space="0" w:color="auto"/>
            </w:tcBorders>
            <w:shd w:val="clear" w:color="000000" w:fill="FFFFFF"/>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5 [(ст.3-ст.4)/ст.4]</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Выручка, в т.ч.</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2110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23 448 102</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15 203 140</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54,23%</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i/>
                <w:iCs/>
                <w:color w:val="808080"/>
                <w:sz w:val="18"/>
                <w:szCs w:val="18"/>
              </w:rPr>
            </w:pPr>
            <w:r w:rsidRPr="007C3F55">
              <w:rPr>
                <w:rFonts w:ascii="Arial" w:hAnsi="Arial" w:cs="Arial"/>
                <w:i/>
                <w:iCs/>
                <w:color w:val="808080"/>
                <w:sz w:val="18"/>
                <w:szCs w:val="18"/>
              </w:rPr>
              <w:t>от продажи продукции</w:t>
            </w:r>
            <w:r w:rsidR="00DE2653">
              <w:rPr>
                <w:rFonts w:ascii="Arial" w:hAnsi="Arial" w:cs="Arial"/>
                <w:i/>
                <w:iCs/>
                <w:color w:val="808080"/>
                <w:sz w:val="18"/>
                <w:szCs w:val="18"/>
              </w:rPr>
              <w:t xml:space="preserve"> и услуг</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2111</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20 674 081</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12 947 351</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59,68%</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i/>
                <w:iCs/>
                <w:color w:val="808080"/>
                <w:sz w:val="18"/>
                <w:szCs w:val="18"/>
              </w:rPr>
            </w:pPr>
            <w:r w:rsidRPr="007C3F55">
              <w:rPr>
                <w:rFonts w:ascii="Arial" w:hAnsi="Arial" w:cs="Arial"/>
                <w:i/>
                <w:iCs/>
                <w:color w:val="808080"/>
                <w:sz w:val="18"/>
                <w:szCs w:val="18"/>
              </w:rPr>
              <w:t>от продажи товаров</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2112</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2 774 021</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2 255 789</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22,97%</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Себестоимость продаж, в т.ч.</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2120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21 077</w:t>
            </w:r>
            <w:r>
              <w:rPr>
                <w:rFonts w:ascii="Arial" w:hAnsi="Arial" w:cs="Arial"/>
                <w:color w:val="000000"/>
                <w:sz w:val="20"/>
                <w:szCs w:val="20"/>
              </w:rPr>
              <w:t> </w:t>
            </w:r>
            <w:r w:rsidR="007C3F55" w:rsidRPr="007C3F55">
              <w:rPr>
                <w:rFonts w:ascii="Arial" w:hAnsi="Arial" w:cs="Arial"/>
                <w:color w:val="000000"/>
                <w:sz w:val="20"/>
                <w:szCs w:val="20"/>
              </w:rPr>
              <w:t>280</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13 986</w:t>
            </w:r>
            <w:r>
              <w:rPr>
                <w:rFonts w:ascii="Arial" w:hAnsi="Arial" w:cs="Arial"/>
                <w:color w:val="000000"/>
                <w:sz w:val="20"/>
                <w:szCs w:val="20"/>
              </w:rPr>
              <w:t> </w:t>
            </w:r>
            <w:r w:rsidR="007C3F55" w:rsidRPr="007C3F55">
              <w:rPr>
                <w:rFonts w:ascii="Arial" w:hAnsi="Arial" w:cs="Arial"/>
                <w:color w:val="000000"/>
                <w:sz w:val="20"/>
                <w:szCs w:val="20"/>
              </w:rPr>
              <w:t>595</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50,70%</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i/>
                <w:iCs/>
                <w:color w:val="808080"/>
                <w:sz w:val="18"/>
                <w:szCs w:val="18"/>
              </w:rPr>
            </w:pPr>
            <w:r w:rsidRPr="007C3F55">
              <w:rPr>
                <w:rFonts w:ascii="Arial" w:hAnsi="Arial" w:cs="Arial"/>
                <w:i/>
                <w:iCs/>
                <w:color w:val="808080"/>
                <w:sz w:val="18"/>
                <w:szCs w:val="18"/>
              </w:rPr>
              <w:t>себестоимость продукции</w:t>
            </w:r>
            <w:r w:rsidR="00DE2653">
              <w:rPr>
                <w:rFonts w:ascii="Arial" w:hAnsi="Arial" w:cs="Arial"/>
                <w:i/>
                <w:iCs/>
                <w:color w:val="808080"/>
                <w:sz w:val="18"/>
                <w:szCs w:val="18"/>
              </w:rPr>
              <w:t xml:space="preserve"> и услуг</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2121</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i/>
                <w:iCs/>
                <w:color w:val="808080"/>
                <w:sz w:val="18"/>
                <w:szCs w:val="18"/>
              </w:rPr>
            </w:pPr>
            <w:r>
              <w:rPr>
                <w:rFonts w:ascii="Arial" w:hAnsi="Arial" w:cs="Arial"/>
                <w:i/>
                <w:iCs/>
                <w:color w:val="808080"/>
                <w:sz w:val="18"/>
                <w:szCs w:val="18"/>
              </w:rPr>
              <w:t>(</w:t>
            </w:r>
            <w:r w:rsidR="007C3F55" w:rsidRPr="007C3F55">
              <w:rPr>
                <w:rFonts w:ascii="Arial" w:hAnsi="Arial" w:cs="Arial"/>
                <w:i/>
                <w:iCs/>
                <w:color w:val="808080"/>
                <w:sz w:val="18"/>
                <w:szCs w:val="18"/>
              </w:rPr>
              <w:t>18 359</w:t>
            </w:r>
            <w:r>
              <w:rPr>
                <w:rFonts w:ascii="Arial" w:hAnsi="Arial" w:cs="Arial"/>
                <w:i/>
                <w:iCs/>
                <w:color w:val="808080"/>
                <w:sz w:val="18"/>
                <w:szCs w:val="18"/>
              </w:rPr>
              <w:t> </w:t>
            </w:r>
            <w:r w:rsidR="007C3F55" w:rsidRPr="007C3F55">
              <w:rPr>
                <w:rFonts w:ascii="Arial" w:hAnsi="Arial" w:cs="Arial"/>
                <w:i/>
                <w:iCs/>
                <w:color w:val="808080"/>
                <w:sz w:val="18"/>
                <w:szCs w:val="18"/>
              </w:rPr>
              <w:t>329</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i/>
                <w:iCs/>
                <w:color w:val="808080"/>
                <w:sz w:val="18"/>
                <w:szCs w:val="18"/>
              </w:rPr>
            </w:pPr>
            <w:r>
              <w:rPr>
                <w:rFonts w:ascii="Arial" w:hAnsi="Arial" w:cs="Arial"/>
                <w:i/>
                <w:iCs/>
                <w:color w:val="808080"/>
                <w:sz w:val="18"/>
                <w:szCs w:val="18"/>
              </w:rPr>
              <w:t>(</w:t>
            </w:r>
            <w:r w:rsidR="007C3F55" w:rsidRPr="007C3F55">
              <w:rPr>
                <w:rFonts w:ascii="Arial" w:hAnsi="Arial" w:cs="Arial"/>
                <w:i/>
                <w:iCs/>
                <w:color w:val="808080"/>
                <w:sz w:val="18"/>
                <w:szCs w:val="18"/>
              </w:rPr>
              <w:t>11 559</w:t>
            </w:r>
            <w:r>
              <w:rPr>
                <w:rFonts w:ascii="Arial" w:hAnsi="Arial" w:cs="Arial"/>
                <w:i/>
                <w:iCs/>
                <w:color w:val="808080"/>
                <w:sz w:val="18"/>
                <w:szCs w:val="18"/>
              </w:rPr>
              <w:t> </w:t>
            </w:r>
            <w:r w:rsidR="007C3F55" w:rsidRPr="007C3F55">
              <w:rPr>
                <w:rFonts w:ascii="Arial" w:hAnsi="Arial" w:cs="Arial"/>
                <w:i/>
                <w:iCs/>
                <w:color w:val="808080"/>
                <w:sz w:val="18"/>
                <w:szCs w:val="18"/>
              </w:rPr>
              <w:t>670</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58,82%</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i/>
                <w:iCs/>
                <w:color w:val="808080"/>
                <w:sz w:val="18"/>
                <w:szCs w:val="18"/>
              </w:rPr>
            </w:pPr>
            <w:r w:rsidRPr="007C3F55">
              <w:rPr>
                <w:rFonts w:ascii="Arial" w:hAnsi="Arial" w:cs="Arial"/>
                <w:i/>
                <w:iCs/>
                <w:color w:val="808080"/>
                <w:sz w:val="18"/>
                <w:szCs w:val="18"/>
              </w:rPr>
              <w:t>себестоимость товаров</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2122</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i/>
                <w:iCs/>
                <w:color w:val="808080"/>
                <w:sz w:val="18"/>
                <w:szCs w:val="18"/>
              </w:rPr>
            </w:pPr>
            <w:r>
              <w:rPr>
                <w:rFonts w:ascii="Arial" w:hAnsi="Arial" w:cs="Arial"/>
                <w:i/>
                <w:iCs/>
                <w:color w:val="808080"/>
                <w:sz w:val="18"/>
                <w:szCs w:val="18"/>
              </w:rPr>
              <w:t>(</w:t>
            </w:r>
            <w:r w:rsidR="007C3F55" w:rsidRPr="007C3F55">
              <w:rPr>
                <w:rFonts w:ascii="Arial" w:hAnsi="Arial" w:cs="Arial"/>
                <w:i/>
                <w:iCs/>
                <w:color w:val="808080"/>
                <w:sz w:val="18"/>
                <w:szCs w:val="18"/>
              </w:rPr>
              <w:t>2 717</w:t>
            </w:r>
            <w:r>
              <w:rPr>
                <w:rFonts w:ascii="Arial" w:hAnsi="Arial" w:cs="Arial"/>
                <w:i/>
                <w:iCs/>
                <w:color w:val="808080"/>
                <w:sz w:val="18"/>
                <w:szCs w:val="18"/>
              </w:rPr>
              <w:t> </w:t>
            </w:r>
            <w:r w:rsidR="007C3F55" w:rsidRPr="007C3F55">
              <w:rPr>
                <w:rFonts w:ascii="Arial" w:hAnsi="Arial" w:cs="Arial"/>
                <w:i/>
                <w:iCs/>
                <w:color w:val="808080"/>
                <w:sz w:val="18"/>
                <w:szCs w:val="18"/>
              </w:rPr>
              <w:t>951</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i/>
                <w:iCs/>
                <w:color w:val="808080"/>
                <w:sz w:val="18"/>
                <w:szCs w:val="18"/>
              </w:rPr>
            </w:pPr>
            <w:r>
              <w:rPr>
                <w:rFonts w:ascii="Arial" w:hAnsi="Arial" w:cs="Arial"/>
                <w:i/>
                <w:iCs/>
                <w:color w:val="808080"/>
                <w:sz w:val="18"/>
                <w:szCs w:val="18"/>
              </w:rPr>
              <w:t>(</w:t>
            </w:r>
            <w:r w:rsidR="007C3F55" w:rsidRPr="007C3F55">
              <w:rPr>
                <w:rFonts w:ascii="Arial" w:hAnsi="Arial" w:cs="Arial"/>
                <w:i/>
                <w:iCs/>
                <w:color w:val="808080"/>
                <w:sz w:val="18"/>
                <w:szCs w:val="18"/>
              </w:rPr>
              <w:t>2 218</w:t>
            </w:r>
            <w:r>
              <w:rPr>
                <w:rFonts w:ascii="Arial" w:hAnsi="Arial" w:cs="Arial"/>
                <w:i/>
                <w:iCs/>
                <w:color w:val="808080"/>
                <w:sz w:val="18"/>
                <w:szCs w:val="18"/>
              </w:rPr>
              <w:t> </w:t>
            </w:r>
            <w:r w:rsidR="007C3F55" w:rsidRPr="007C3F55">
              <w:rPr>
                <w:rFonts w:ascii="Arial" w:hAnsi="Arial" w:cs="Arial"/>
                <w:i/>
                <w:iCs/>
                <w:color w:val="808080"/>
                <w:sz w:val="18"/>
                <w:szCs w:val="18"/>
              </w:rPr>
              <w:t>735</w:t>
            </w:r>
            <w:r>
              <w:rPr>
                <w:rFonts w:ascii="Arial" w:hAnsi="Arial" w:cs="Arial"/>
                <w:i/>
                <w:iCs/>
                <w:color w:val="808080"/>
                <w:sz w:val="18"/>
                <w:szCs w:val="18"/>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i/>
                <w:iCs/>
                <w:color w:val="808080"/>
                <w:sz w:val="18"/>
                <w:szCs w:val="18"/>
              </w:rPr>
            </w:pPr>
            <w:r w:rsidRPr="007C3F55">
              <w:rPr>
                <w:rFonts w:ascii="Arial" w:hAnsi="Arial" w:cs="Arial"/>
                <w:i/>
                <w:iCs/>
                <w:color w:val="808080"/>
                <w:sz w:val="18"/>
                <w:szCs w:val="18"/>
              </w:rPr>
              <w:t>22,50%</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7C3F55" w:rsidRPr="007C3F55" w:rsidRDefault="007C3F55" w:rsidP="007C3F55">
            <w:pPr>
              <w:rPr>
                <w:rFonts w:ascii="Arial" w:hAnsi="Arial" w:cs="Arial"/>
                <w:b/>
                <w:bCs/>
                <w:color w:val="000000"/>
                <w:sz w:val="20"/>
                <w:szCs w:val="20"/>
              </w:rPr>
            </w:pPr>
            <w:r w:rsidRPr="007C3F55">
              <w:rPr>
                <w:rFonts w:ascii="Arial" w:hAnsi="Arial" w:cs="Arial"/>
                <w:b/>
                <w:bCs/>
                <w:color w:val="000000"/>
                <w:sz w:val="20"/>
                <w:szCs w:val="20"/>
              </w:rPr>
              <w:t>Валовая прибыль (убыток)</w:t>
            </w:r>
          </w:p>
        </w:tc>
        <w:tc>
          <w:tcPr>
            <w:tcW w:w="137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2100</w:t>
            </w:r>
          </w:p>
        </w:tc>
        <w:tc>
          <w:tcPr>
            <w:tcW w:w="188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2 370 822</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1 216 545</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94,88%</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Коммерческие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2210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213</w:t>
            </w:r>
            <w:r>
              <w:rPr>
                <w:rFonts w:ascii="Arial" w:hAnsi="Arial" w:cs="Arial"/>
                <w:color w:val="000000"/>
                <w:sz w:val="20"/>
                <w:szCs w:val="20"/>
              </w:rPr>
              <w:t> </w:t>
            </w:r>
            <w:r w:rsidR="007C3F55" w:rsidRPr="007C3F55">
              <w:rPr>
                <w:rFonts w:ascii="Arial" w:hAnsi="Arial" w:cs="Arial"/>
                <w:color w:val="000000"/>
                <w:sz w:val="20"/>
                <w:szCs w:val="20"/>
              </w:rPr>
              <w:t>332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548</w:t>
            </w:r>
            <w:r>
              <w:rPr>
                <w:rFonts w:ascii="Arial" w:hAnsi="Arial" w:cs="Arial"/>
                <w:color w:val="000000"/>
                <w:sz w:val="20"/>
                <w:szCs w:val="20"/>
              </w:rPr>
              <w:t> </w:t>
            </w:r>
            <w:r w:rsidR="007C3F55" w:rsidRPr="007C3F55">
              <w:rPr>
                <w:rFonts w:ascii="Arial" w:hAnsi="Arial" w:cs="Arial"/>
                <w:color w:val="000000"/>
                <w:sz w:val="20"/>
                <w:szCs w:val="20"/>
              </w:rPr>
              <w:t>688</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-61,12%</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Управленческие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2220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384</w:t>
            </w:r>
            <w:r>
              <w:rPr>
                <w:rFonts w:ascii="Arial" w:hAnsi="Arial" w:cs="Arial"/>
                <w:color w:val="000000"/>
                <w:sz w:val="20"/>
                <w:szCs w:val="20"/>
              </w:rPr>
              <w:t> </w:t>
            </w:r>
            <w:r w:rsidR="007C3F55" w:rsidRPr="007C3F55">
              <w:rPr>
                <w:rFonts w:ascii="Arial" w:hAnsi="Arial" w:cs="Arial"/>
                <w:color w:val="000000"/>
                <w:sz w:val="20"/>
                <w:szCs w:val="20"/>
              </w:rPr>
              <w:t>651</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299</w:t>
            </w:r>
            <w:r>
              <w:rPr>
                <w:rFonts w:ascii="Arial" w:hAnsi="Arial" w:cs="Arial"/>
                <w:color w:val="000000"/>
                <w:sz w:val="20"/>
                <w:szCs w:val="20"/>
              </w:rPr>
              <w:t> </w:t>
            </w:r>
            <w:r w:rsidR="007C3F55" w:rsidRPr="007C3F55">
              <w:rPr>
                <w:rFonts w:ascii="Arial" w:hAnsi="Arial" w:cs="Arial"/>
                <w:color w:val="000000"/>
                <w:sz w:val="20"/>
                <w:szCs w:val="20"/>
              </w:rPr>
              <w:t>512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28,43%</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7C3F55" w:rsidRPr="007C3F55" w:rsidRDefault="007C3F55" w:rsidP="007C3F55">
            <w:pPr>
              <w:rPr>
                <w:rFonts w:ascii="Arial" w:hAnsi="Arial" w:cs="Arial"/>
                <w:b/>
                <w:bCs/>
                <w:color w:val="000000"/>
                <w:sz w:val="20"/>
                <w:szCs w:val="20"/>
              </w:rPr>
            </w:pPr>
            <w:r w:rsidRPr="007C3F55">
              <w:rPr>
                <w:rFonts w:ascii="Arial" w:hAnsi="Arial" w:cs="Arial"/>
                <w:b/>
                <w:bCs/>
                <w:color w:val="000000"/>
                <w:sz w:val="20"/>
                <w:szCs w:val="20"/>
              </w:rPr>
              <w:t>Прибыль (убыток) от продаж</w:t>
            </w:r>
          </w:p>
        </w:tc>
        <w:tc>
          <w:tcPr>
            <w:tcW w:w="137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2200</w:t>
            </w:r>
          </w:p>
        </w:tc>
        <w:tc>
          <w:tcPr>
            <w:tcW w:w="188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1 772 839</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368 345</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381,30%</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b/>
                <w:bCs/>
                <w:color w:val="000000"/>
                <w:sz w:val="20"/>
                <w:szCs w:val="20"/>
              </w:rPr>
            </w:pPr>
            <w:r w:rsidRPr="007C3F55">
              <w:rPr>
                <w:rFonts w:ascii="Arial" w:hAnsi="Arial" w:cs="Arial"/>
                <w:b/>
                <w:bCs/>
                <w:color w:val="000000"/>
                <w:sz w:val="20"/>
                <w:szCs w:val="20"/>
              </w:rPr>
              <w:t>Прочие доходы и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rPr>
                <w:rFonts w:ascii="Calibri" w:hAnsi="Calibri" w:cs="Calibri"/>
                <w:color w:val="000000"/>
              </w:rPr>
            </w:pPr>
            <w:r w:rsidRPr="007C3F55">
              <w:rPr>
                <w:rFonts w:ascii="Calibri" w:hAnsi="Calibri" w:cs="Calibri"/>
                <w:color w:val="000000"/>
                <w:sz w:val="22"/>
                <w:szCs w:val="22"/>
              </w:rPr>
              <w:t> </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rPr>
                <w:rFonts w:ascii="Calibri" w:hAnsi="Calibri" w:cs="Calibri"/>
                <w:color w:val="000000"/>
              </w:rPr>
            </w:pPr>
            <w:r w:rsidRPr="007C3F55">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rPr>
                <w:rFonts w:ascii="Calibri" w:hAnsi="Calibri" w:cs="Calibri"/>
                <w:color w:val="000000"/>
              </w:rPr>
            </w:pPr>
            <w:r w:rsidRPr="007C3F55">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rPr>
                <w:rFonts w:ascii="Calibri" w:hAnsi="Calibri" w:cs="Calibri"/>
                <w:color w:val="000000"/>
              </w:rPr>
            </w:pPr>
            <w:r w:rsidRPr="007C3F55">
              <w:rPr>
                <w:rFonts w:ascii="Calibri" w:hAnsi="Calibri" w:cs="Calibri"/>
                <w:color w:val="000000"/>
                <w:sz w:val="22"/>
                <w:szCs w:val="22"/>
              </w:rPr>
              <w:t> </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Проценты к получению</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2320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12 917</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1 746</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639,81%</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Проценты к уплате</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2330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132</w:t>
            </w:r>
            <w:r>
              <w:rPr>
                <w:rFonts w:ascii="Arial" w:hAnsi="Arial" w:cs="Arial"/>
                <w:color w:val="000000"/>
                <w:sz w:val="20"/>
                <w:szCs w:val="20"/>
              </w:rPr>
              <w:t> </w:t>
            </w:r>
            <w:r w:rsidR="007C3F55" w:rsidRPr="007C3F55">
              <w:rPr>
                <w:rFonts w:ascii="Arial" w:hAnsi="Arial" w:cs="Arial"/>
                <w:color w:val="000000"/>
                <w:sz w:val="20"/>
                <w:szCs w:val="20"/>
              </w:rPr>
              <w:t>912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142</w:t>
            </w:r>
            <w:r>
              <w:rPr>
                <w:rFonts w:ascii="Arial" w:hAnsi="Arial" w:cs="Arial"/>
                <w:color w:val="000000"/>
                <w:sz w:val="20"/>
                <w:szCs w:val="20"/>
              </w:rPr>
              <w:t> </w:t>
            </w:r>
            <w:r w:rsidR="007C3F55" w:rsidRPr="007C3F55">
              <w:rPr>
                <w:rFonts w:ascii="Arial" w:hAnsi="Arial" w:cs="Arial"/>
                <w:color w:val="000000"/>
                <w:sz w:val="20"/>
                <w:szCs w:val="20"/>
              </w:rPr>
              <w:t>076</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-6,45%</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Прочие доходы</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2340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6 295 163</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6 147 723</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2,40%</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Прочие расходы</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2350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6 261</w:t>
            </w:r>
            <w:r>
              <w:rPr>
                <w:rFonts w:ascii="Arial" w:hAnsi="Arial" w:cs="Arial"/>
                <w:color w:val="000000"/>
                <w:sz w:val="20"/>
                <w:szCs w:val="20"/>
              </w:rPr>
              <w:t> </w:t>
            </w:r>
            <w:r w:rsidR="007C3F55" w:rsidRPr="007C3F55">
              <w:rPr>
                <w:rFonts w:ascii="Arial" w:hAnsi="Arial" w:cs="Arial"/>
                <w:color w:val="000000"/>
                <w:sz w:val="20"/>
                <w:szCs w:val="20"/>
              </w:rPr>
              <w:t>078</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6 437</w:t>
            </w:r>
            <w:r>
              <w:rPr>
                <w:rFonts w:ascii="Arial" w:hAnsi="Arial" w:cs="Arial"/>
                <w:color w:val="000000"/>
                <w:sz w:val="20"/>
                <w:szCs w:val="20"/>
              </w:rPr>
              <w:t> </w:t>
            </w:r>
            <w:r w:rsidR="007C3F55" w:rsidRPr="007C3F55">
              <w:rPr>
                <w:rFonts w:ascii="Arial" w:hAnsi="Arial" w:cs="Arial"/>
                <w:color w:val="000000"/>
                <w:sz w:val="20"/>
                <w:szCs w:val="20"/>
              </w:rPr>
              <w:t>887</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-2,75%</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7C3F55" w:rsidRPr="007C3F55" w:rsidRDefault="007C3F55" w:rsidP="007C3F55">
            <w:pPr>
              <w:rPr>
                <w:rFonts w:ascii="Arial" w:hAnsi="Arial" w:cs="Arial"/>
                <w:b/>
                <w:bCs/>
                <w:color w:val="000000"/>
                <w:sz w:val="20"/>
                <w:szCs w:val="20"/>
              </w:rPr>
            </w:pPr>
            <w:r w:rsidRPr="007C3F55">
              <w:rPr>
                <w:rFonts w:ascii="Arial" w:hAnsi="Arial" w:cs="Arial"/>
                <w:b/>
                <w:bCs/>
                <w:color w:val="000000"/>
                <w:sz w:val="20"/>
                <w:szCs w:val="20"/>
              </w:rPr>
              <w:t>Прибыль (убыток) до налогообложения</w:t>
            </w:r>
          </w:p>
        </w:tc>
        <w:tc>
          <w:tcPr>
            <w:tcW w:w="137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2300</w:t>
            </w:r>
          </w:p>
        </w:tc>
        <w:tc>
          <w:tcPr>
            <w:tcW w:w="188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1 686 929</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415B4" w:rsidP="007C3F55">
            <w:pPr>
              <w:jc w:val="center"/>
              <w:rPr>
                <w:rFonts w:ascii="Arial" w:hAnsi="Arial" w:cs="Arial"/>
                <w:b/>
                <w:bCs/>
                <w:color w:val="000000"/>
                <w:sz w:val="20"/>
                <w:szCs w:val="20"/>
              </w:rPr>
            </w:pPr>
            <w:r>
              <w:rPr>
                <w:rFonts w:ascii="Arial" w:hAnsi="Arial" w:cs="Arial"/>
                <w:b/>
                <w:bCs/>
                <w:color w:val="000000"/>
                <w:sz w:val="20"/>
                <w:szCs w:val="20"/>
              </w:rPr>
              <w:t>(</w:t>
            </w:r>
            <w:r w:rsidR="007C3F55" w:rsidRPr="007C3F55">
              <w:rPr>
                <w:rFonts w:ascii="Arial" w:hAnsi="Arial" w:cs="Arial"/>
                <w:b/>
                <w:bCs/>
                <w:color w:val="000000"/>
                <w:sz w:val="20"/>
                <w:szCs w:val="20"/>
              </w:rPr>
              <w:t>62</w:t>
            </w:r>
            <w:r>
              <w:rPr>
                <w:rFonts w:ascii="Arial" w:hAnsi="Arial" w:cs="Arial"/>
                <w:b/>
                <w:bCs/>
                <w:color w:val="000000"/>
                <w:sz w:val="20"/>
                <w:szCs w:val="20"/>
              </w:rPr>
              <w:t> </w:t>
            </w:r>
            <w:r w:rsidR="007C3F55" w:rsidRPr="007C3F55">
              <w:rPr>
                <w:rFonts w:ascii="Arial" w:hAnsi="Arial" w:cs="Arial"/>
                <w:b/>
                <w:bCs/>
                <w:color w:val="000000"/>
                <w:sz w:val="20"/>
                <w:szCs w:val="20"/>
              </w:rPr>
              <w:t>149</w:t>
            </w:r>
            <w:r>
              <w:rPr>
                <w:rFonts w:ascii="Arial" w:hAnsi="Arial" w:cs="Arial"/>
                <w:b/>
                <w:bCs/>
                <w:color w:val="000000"/>
                <w:sz w:val="20"/>
                <w:szCs w:val="20"/>
              </w:rPr>
              <w:t>)</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-2814,33%</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Налог на прибыль</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2410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343</w:t>
            </w:r>
            <w:r>
              <w:rPr>
                <w:rFonts w:ascii="Arial" w:hAnsi="Arial" w:cs="Arial"/>
                <w:color w:val="000000"/>
                <w:sz w:val="20"/>
                <w:szCs w:val="20"/>
              </w:rPr>
              <w:t> </w:t>
            </w:r>
            <w:r w:rsidR="007C3F55" w:rsidRPr="007C3F55">
              <w:rPr>
                <w:rFonts w:ascii="Arial" w:hAnsi="Arial" w:cs="Arial"/>
                <w:color w:val="000000"/>
                <w:sz w:val="20"/>
                <w:szCs w:val="20"/>
              </w:rPr>
              <w:t>402</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12 269</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-2898,94%</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 xml:space="preserve">в т.ч. </w:t>
            </w:r>
            <w:r w:rsidRPr="007C3F55">
              <w:rPr>
                <w:rFonts w:ascii="Arial" w:hAnsi="Arial" w:cs="Arial"/>
                <w:color w:val="000000"/>
                <w:sz w:val="20"/>
                <w:szCs w:val="20"/>
              </w:rPr>
              <w:br/>
              <w:t>текущий налог на прибыль</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2411</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370</w:t>
            </w:r>
            <w:r>
              <w:rPr>
                <w:rFonts w:ascii="Arial" w:hAnsi="Arial" w:cs="Arial"/>
                <w:color w:val="000000"/>
                <w:sz w:val="20"/>
                <w:szCs w:val="20"/>
              </w:rPr>
              <w:t> </w:t>
            </w:r>
            <w:r w:rsidR="007C3F55" w:rsidRPr="007C3F55">
              <w:rPr>
                <w:rFonts w:ascii="Arial" w:hAnsi="Arial" w:cs="Arial"/>
                <w:color w:val="000000"/>
                <w:sz w:val="20"/>
                <w:szCs w:val="20"/>
              </w:rPr>
              <w:t>896</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87</w:t>
            </w:r>
            <w:r>
              <w:rPr>
                <w:rFonts w:ascii="Arial" w:hAnsi="Arial" w:cs="Arial"/>
                <w:color w:val="000000"/>
                <w:sz w:val="20"/>
                <w:szCs w:val="20"/>
              </w:rPr>
              <w:t> </w:t>
            </w:r>
            <w:r w:rsidR="007C3F55" w:rsidRPr="007C3F55">
              <w:rPr>
                <w:rFonts w:ascii="Arial" w:hAnsi="Arial" w:cs="Arial"/>
                <w:color w:val="000000"/>
                <w:sz w:val="20"/>
                <w:szCs w:val="20"/>
              </w:rPr>
              <w:t>288</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324,91%</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отложенный налог на прибыль</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2412</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27 494</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95 557</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-71,23%</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7C3F55" w:rsidRPr="007C3F55" w:rsidRDefault="007C3F55" w:rsidP="007C3F55">
            <w:pPr>
              <w:rPr>
                <w:rFonts w:ascii="Arial" w:hAnsi="Arial" w:cs="Arial"/>
                <w:color w:val="000000"/>
                <w:sz w:val="20"/>
                <w:szCs w:val="20"/>
              </w:rPr>
            </w:pPr>
            <w:r w:rsidRPr="007C3F55">
              <w:rPr>
                <w:rFonts w:ascii="Arial" w:hAnsi="Arial" w:cs="Arial"/>
                <w:color w:val="000000"/>
                <w:sz w:val="20"/>
                <w:szCs w:val="20"/>
              </w:rPr>
              <w:t>Прочее</w:t>
            </w:r>
          </w:p>
        </w:tc>
        <w:tc>
          <w:tcPr>
            <w:tcW w:w="137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2460</w:t>
            </w:r>
          </w:p>
        </w:tc>
        <w:tc>
          <w:tcPr>
            <w:tcW w:w="1885"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0</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415B4" w:rsidP="007C3F55">
            <w:pPr>
              <w:jc w:val="center"/>
              <w:rPr>
                <w:rFonts w:ascii="Arial" w:hAnsi="Arial" w:cs="Arial"/>
                <w:color w:val="000000"/>
                <w:sz w:val="20"/>
                <w:szCs w:val="20"/>
              </w:rPr>
            </w:pPr>
            <w:r>
              <w:rPr>
                <w:rFonts w:ascii="Arial" w:hAnsi="Arial" w:cs="Arial"/>
                <w:color w:val="000000"/>
                <w:sz w:val="20"/>
                <w:szCs w:val="20"/>
              </w:rPr>
              <w:t>(</w:t>
            </w:r>
            <w:r w:rsidR="007C3F55" w:rsidRPr="007C3F55">
              <w:rPr>
                <w:rFonts w:ascii="Arial" w:hAnsi="Arial" w:cs="Arial"/>
                <w:color w:val="000000"/>
                <w:sz w:val="20"/>
                <w:szCs w:val="20"/>
              </w:rPr>
              <w:t>598</w:t>
            </w:r>
            <w:r>
              <w:rPr>
                <w:rFonts w:ascii="Arial" w:hAnsi="Arial" w:cs="Arial"/>
                <w:color w:val="000000"/>
                <w:sz w:val="20"/>
                <w:szCs w:val="20"/>
              </w:rPr>
              <w:t>)</w:t>
            </w:r>
          </w:p>
        </w:tc>
        <w:tc>
          <w:tcPr>
            <w:tcW w:w="1701" w:type="dxa"/>
            <w:tcBorders>
              <w:top w:val="nil"/>
              <w:left w:val="nil"/>
              <w:bottom w:val="single" w:sz="4" w:space="0" w:color="auto"/>
              <w:right w:val="single" w:sz="4" w:space="0" w:color="auto"/>
            </w:tcBorders>
            <w:shd w:val="clear" w:color="auto" w:fill="auto"/>
            <w:noWrap/>
            <w:vAlign w:val="bottom"/>
            <w:hideMark/>
          </w:tcPr>
          <w:p w:rsidR="007C3F55" w:rsidRPr="007C3F55" w:rsidRDefault="007C3F55" w:rsidP="007C3F55">
            <w:pPr>
              <w:jc w:val="center"/>
              <w:rPr>
                <w:rFonts w:ascii="Arial" w:hAnsi="Arial" w:cs="Arial"/>
                <w:color w:val="000000"/>
                <w:sz w:val="20"/>
                <w:szCs w:val="20"/>
              </w:rPr>
            </w:pPr>
            <w:r w:rsidRPr="007C3F55">
              <w:rPr>
                <w:rFonts w:ascii="Arial" w:hAnsi="Arial" w:cs="Arial"/>
                <w:color w:val="000000"/>
                <w:sz w:val="20"/>
                <w:szCs w:val="20"/>
              </w:rPr>
              <w:t>-100,00%</w:t>
            </w:r>
          </w:p>
        </w:tc>
      </w:tr>
      <w:tr w:rsidR="007C3F55" w:rsidRPr="007C3F55" w:rsidTr="007C3F55">
        <w:trPr>
          <w:trHeight w:val="20"/>
        </w:trPr>
        <w:tc>
          <w:tcPr>
            <w:tcW w:w="3256" w:type="dxa"/>
            <w:tcBorders>
              <w:top w:val="nil"/>
              <w:left w:val="single" w:sz="4" w:space="0" w:color="auto"/>
              <w:bottom w:val="single" w:sz="4" w:space="0" w:color="auto"/>
              <w:right w:val="single" w:sz="4" w:space="0" w:color="auto"/>
            </w:tcBorders>
            <w:shd w:val="clear" w:color="000000" w:fill="D9D9D9"/>
            <w:vAlign w:val="bottom"/>
            <w:hideMark/>
          </w:tcPr>
          <w:p w:rsidR="007C3F55" w:rsidRPr="007C3F55" w:rsidRDefault="007C3F55" w:rsidP="007C3F55">
            <w:pPr>
              <w:rPr>
                <w:rFonts w:ascii="Arial" w:hAnsi="Arial" w:cs="Arial"/>
                <w:b/>
                <w:bCs/>
                <w:color w:val="000000"/>
                <w:sz w:val="20"/>
                <w:szCs w:val="20"/>
              </w:rPr>
            </w:pPr>
            <w:r w:rsidRPr="007C3F55">
              <w:rPr>
                <w:rFonts w:ascii="Arial" w:hAnsi="Arial" w:cs="Arial"/>
                <w:b/>
                <w:bCs/>
                <w:color w:val="000000"/>
                <w:sz w:val="20"/>
                <w:szCs w:val="20"/>
              </w:rPr>
              <w:t>Чистая прибыль (убыток)</w:t>
            </w:r>
          </w:p>
        </w:tc>
        <w:tc>
          <w:tcPr>
            <w:tcW w:w="137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2400</w:t>
            </w:r>
          </w:p>
        </w:tc>
        <w:tc>
          <w:tcPr>
            <w:tcW w:w="1885"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1 343 527</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415B4" w:rsidP="007C3F55">
            <w:pPr>
              <w:jc w:val="center"/>
              <w:rPr>
                <w:rFonts w:ascii="Arial" w:hAnsi="Arial" w:cs="Arial"/>
                <w:b/>
                <w:bCs/>
                <w:color w:val="000000"/>
                <w:sz w:val="20"/>
                <w:szCs w:val="20"/>
              </w:rPr>
            </w:pPr>
            <w:r>
              <w:rPr>
                <w:rFonts w:ascii="Arial" w:hAnsi="Arial" w:cs="Arial"/>
                <w:b/>
                <w:bCs/>
                <w:color w:val="000000"/>
                <w:sz w:val="20"/>
                <w:szCs w:val="20"/>
              </w:rPr>
              <w:t>(</w:t>
            </w:r>
            <w:r w:rsidR="007C3F55" w:rsidRPr="007C3F55">
              <w:rPr>
                <w:rFonts w:ascii="Arial" w:hAnsi="Arial" w:cs="Arial"/>
                <w:b/>
                <w:bCs/>
                <w:color w:val="000000"/>
                <w:sz w:val="20"/>
                <w:szCs w:val="20"/>
              </w:rPr>
              <w:t>50</w:t>
            </w:r>
            <w:r>
              <w:rPr>
                <w:rFonts w:ascii="Arial" w:hAnsi="Arial" w:cs="Arial"/>
                <w:b/>
                <w:bCs/>
                <w:color w:val="000000"/>
                <w:sz w:val="20"/>
                <w:szCs w:val="20"/>
              </w:rPr>
              <w:t> </w:t>
            </w:r>
            <w:r w:rsidR="007C3F55" w:rsidRPr="007C3F55">
              <w:rPr>
                <w:rFonts w:ascii="Arial" w:hAnsi="Arial" w:cs="Arial"/>
                <w:b/>
                <w:bCs/>
                <w:color w:val="000000"/>
                <w:sz w:val="20"/>
                <w:szCs w:val="20"/>
              </w:rPr>
              <w:t>478</w:t>
            </w:r>
            <w:r>
              <w:rPr>
                <w:rFonts w:ascii="Arial" w:hAnsi="Arial" w:cs="Arial"/>
                <w:b/>
                <w:bCs/>
                <w:color w:val="000000"/>
                <w:sz w:val="20"/>
                <w:szCs w:val="20"/>
              </w:rPr>
              <w:t>)</w:t>
            </w:r>
          </w:p>
        </w:tc>
        <w:tc>
          <w:tcPr>
            <w:tcW w:w="1701" w:type="dxa"/>
            <w:tcBorders>
              <w:top w:val="nil"/>
              <w:left w:val="nil"/>
              <w:bottom w:val="single" w:sz="4" w:space="0" w:color="auto"/>
              <w:right w:val="single" w:sz="4" w:space="0" w:color="auto"/>
            </w:tcBorders>
            <w:shd w:val="clear" w:color="000000" w:fill="D9D9D9"/>
            <w:noWrap/>
            <w:vAlign w:val="bottom"/>
            <w:hideMark/>
          </w:tcPr>
          <w:p w:rsidR="007C3F55" w:rsidRPr="007C3F55" w:rsidRDefault="007C3F55" w:rsidP="007C3F55">
            <w:pPr>
              <w:jc w:val="center"/>
              <w:rPr>
                <w:rFonts w:ascii="Arial" w:hAnsi="Arial" w:cs="Arial"/>
                <w:b/>
                <w:bCs/>
                <w:color w:val="000000"/>
                <w:sz w:val="20"/>
                <w:szCs w:val="20"/>
              </w:rPr>
            </w:pPr>
            <w:r w:rsidRPr="007C3F55">
              <w:rPr>
                <w:rFonts w:ascii="Arial" w:hAnsi="Arial" w:cs="Arial"/>
                <w:b/>
                <w:bCs/>
                <w:color w:val="000000"/>
                <w:sz w:val="20"/>
                <w:szCs w:val="20"/>
              </w:rPr>
              <w:t>-2761,61%</w:t>
            </w:r>
          </w:p>
        </w:tc>
      </w:tr>
    </w:tbl>
    <w:p w:rsidR="0079710D" w:rsidRDefault="0079710D" w:rsidP="0079710D">
      <w:pPr>
        <w:pStyle w:val="a5"/>
        <w:spacing w:before="120" w:after="120"/>
        <w:ind w:firstLine="709"/>
        <w:rPr>
          <w:rFonts w:ascii="Arial" w:hAnsi="Arial" w:cs="Arial"/>
          <w:szCs w:val="22"/>
        </w:rPr>
      </w:pPr>
      <w:r>
        <w:rPr>
          <w:rFonts w:ascii="Arial" w:hAnsi="Arial" w:cs="Arial"/>
          <w:szCs w:val="22"/>
        </w:rPr>
        <w:t xml:space="preserve">Валюта бухгалтерского баланса по </w:t>
      </w:r>
      <w:r w:rsidR="00E226E0" w:rsidRPr="003851D4">
        <w:rPr>
          <w:rFonts w:ascii="Arial" w:hAnsi="Arial" w:cs="Arial"/>
          <w:szCs w:val="22"/>
        </w:rPr>
        <w:t>состоянию на 31.12.20</w:t>
      </w:r>
      <w:r w:rsidR="00334C5D">
        <w:rPr>
          <w:rFonts w:ascii="Arial" w:hAnsi="Arial" w:cs="Arial"/>
          <w:szCs w:val="22"/>
        </w:rPr>
        <w:t>2</w:t>
      </w:r>
      <w:r w:rsidR="00D4391C">
        <w:rPr>
          <w:rFonts w:ascii="Arial" w:hAnsi="Arial" w:cs="Arial"/>
          <w:szCs w:val="22"/>
        </w:rPr>
        <w:t>1</w:t>
      </w:r>
      <w:r>
        <w:rPr>
          <w:rFonts w:ascii="Arial" w:hAnsi="Arial" w:cs="Arial"/>
          <w:szCs w:val="22"/>
        </w:rPr>
        <w:t xml:space="preserve"> г. составила </w:t>
      </w:r>
    </w:p>
    <w:p w:rsidR="00E226E0" w:rsidRPr="00CD66B8" w:rsidRDefault="00D4391C" w:rsidP="0079710D">
      <w:pPr>
        <w:pStyle w:val="a5"/>
        <w:spacing w:before="120" w:after="120"/>
        <w:ind w:firstLine="709"/>
        <w:rPr>
          <w:rFonts w:ascii="Arial" w:hAnsi="Arial" w:cs="Arial"/>
          <w:szCs w:val="22"/>
        </w:rPr>
      </w:pPr>
      <w:r w:rsidRPr="00D4391C">
        <w:rPr>
          <w:rFonts w:ascii="Arial" w:hAnsi="Arial" w:cs="Arial"/>
          <w:szCs w:val="22"/>
        </w:rPr>
        <w:t>11 718</w:t>
      </w:r>
      <w:r>
        <w:rPr>
          <w:rFonts w:ascii="Arial" w:hAnsi="Arial" w:cs="Arial"/>
          <w:szCs w:val="22"/>
        </w:rPr>
        <w:t> </w:t>
      </w:r>
      <w:r w:rsidRPr="00D4391C">
        <w:rPr>
          <w:rFonts w:ascii="Arial" w:hAnsi="Arial" w:cs="Arial"/>
          <w:szCs w:val="22"/>
        </w:rPr>
        <w:t>639</w:t>
      </w:r>
      <w:r>
        <w:rPr>
          <w:rFonts w:ascii="Arial" w:hAnsi="Arial" w:cs="Arial"/>
          <w:szCs w:val="22"/>
        </w:rPr>
        <w:t xml:space="preserve"> </w:t>
      </w:r>
      <w:r w:rsidR="003851D4" w:rsidRPr="003851D4">
        <w:rPr>
          <w:rFonts w:ascii="Arial" w:hAnsi="Arial" w:cs="Arial"/>
          <w:szCs w:val="22"/>
        </w:rPr>
        <w:t xml:space="preserve">тыс. руб. и </w:t>
      </w:r>
      <w:r>
        <w:rPr>
          <w:rFonts w:ascii="Arial" w:hAnsi="Arial" w:cs="Arial"/>
          <w:szCs w:val="22"/>
        </w:rPr>
        <w:t>увеличилась</w:t>
      </w:r>
      <w:r w:rsidR="00E226E0" w:rsidRPr="003851D4">
        <w:rPr>
          <w:rFonts w:ascii="Arial" w:hAnsi="Arial" w:cs="Arial"/>
          <w:szCs w:val="22"/>
        </w:rPr>
        <w:t xml:space="preserve"> по сравнению с прошлым годом на </w:t>
      </w:r>
      <w:r>
        <w:rPr>
          <w:rFonts w:ascii="Arial" w:hAnsi="Arial" w:cs="Arial"/>
          <w:szCs w:val="22"/>
        </w:rPr>
        <w:t>55,05</w:t>
      </w:r>
      <w:r w:rsidR="00E226E0" w:rsidRPr="003851D4">
        <w:rPr>
          <w:rFonts w:ascii="Arial" w:hAnsi="Arial" w:cs="Arial"/>
          <w:szCs w:val="22"/>
        </w:rPr>
        <w:t xml:space="preserve">% (в </w:t>
      </w:r>
      <w:r w:rsidR="00E226E0" w:rsidRPr="00CD66B8">
        <w:rPr>
          <w:rFonts w:ascii="Arial" w:hAnsi="Arial" w:cs="Arial"/>
          <w:szCs w:val="22"/>
        </w:rPr>
        <w:t>абсолютном выражении – на</w:t>
      </w:r>
      <w:r w:rsidR="00334C5D">
        <w:rPr>
          <w:rFonts w:ascii="Arial" w:hAnsi="Arial" w:cs="Arial"/>
          <w:szCs w:val="22"/>
        </w:rPr>
        <w:t xml:space="preserve"> </w:t>
      </w:r>
      <w:r w:rsidRPr="00D4391C">
        <w:rPr>
          <w:rFonts w:ascii="Arial" w:hAnsi="Arial" w:cs="Arial"/>
          <w:szCs w:val="22"/>
        </w:rPr>
        <w:t>4 160 498</w:t>
      </w:r>
      <w:r w:rsidR="00E226E0" w:rsidRPr="00CD66B8">
        <w:rPr>
          <w:rFonts w:ascii="Arial" w:hAnsi="Arial" w:cs="Arial"/>
          <w:szCs w:val="22"/>
        </w:rPr>
        <w:t xml:space="preserve"> тыс. руб.). </w:t>
      </w:r>
    </w:p>
    <w:p w:rsidR="00CD66B8" w:rsidRPr="0060465E" w:rsidRDefault="00E226E0" w:rsidP="009A2C81">
      <w:pPr>
        <w:pStyle w:val="a5"/>
        <w:spacing w:before="120" w:after="120"/>
        <w:ind w:firstLine="709"/>
        <w:rPr>
          <w:rFonts w:ascii="Arial" w:hAnsi="Arial" w:cs="Arial"/>
          <w:szCs w:val="22"/>
        </w:rPr>
      </w:pPr>
      <w:r w:rsidRPr="00CD66B8">
        <w:rPr>
          <w:rFonts w:ascii="Arial" w:hAnsi="Arial" w:cs="Arial"/>
          <w:szCs w:val="22"/>
        </w:rPr>
        <w:t xml:space="preserve">Величина внеоборотных активов </w:t>
      </w:r>
      <w:r w:rsidR="00270413">
        <w:rPr>
          <w:rFonts w:ascii="Arial" w:hAnsi="Arial" w:cs="Arial"/>
          <w:szCs w:val="22"/>
        </w:rPr>
        <w:t>снизилась</w:t>
      </w:r>
      <w:r w:rsidRPr="00CD66B8">
        <w:rPr>
          <w:rFonts w:ascii="Arial" w:hAnsi="Arial" w:cs="Arial"/>
          <w:szCs w:val="22"/>
        </w:rPr>
        <w:t xml:space="preserve"> на </w:t>
      </w:r>
      <w:r w:rsidR="00AA1FEF">
        <w:rPr>
          <w:rFonts w:ascii="Arial" w:hAnsi="Arial" w:cs="Arial"/>
          <w:szCs w:val="22"/>
        </w:rPr>
        <w:t>7</w:t>
      </w:r>
      <w:r w:rsidRPr="00CD66B8">
        <w:rPr>
          <w:rFonts w:ascii="Arial" w:hAnsi="Arial" w:cs="Arial"/>
          <w:szCs w:val="22"/>
        </w:rPr>
        <w:t>,</w:t>
      </w:r>
      <w:r w:rsidR="00AA1FEF">
        <w:rPr>
          <w:rFonts w:ascii="Arial" w:hAnsi="Arial" w:cs="Arial"/>
          <w:szCs w:val="22"/>
        </w:rPr>
        <w:t>62</w:t>
      </w:r>
      <w:r w:rsidRPr="00CD66B8">
        <w:rPr>
          <w:rFonts w:ascii="Arial" w:hAnsi="Arial" w:cs="Arial"/>
          <w:szCs w:val="22"/>
        </w:rPr>
        <w:t xml:space="preserve">% (в абсолютном выражении – на </w:t>
      </w:r>
      <w:r w:rsidR="00AA1FEF">
        <w:rPr>
          <w:rFonts w:ascii="Arial" w:hAnsi="Arial" w:cs="Arial"/>
          <w:szCs w:val="22"/>
        </w:rPr>
        <w:t>243</w:t>
      </w:r>
      <w:r w:rsidRPr="00CD66B8">
        <w:rPr>
          <w:rFonts w:ascii="Arial" w:hAnsi="Arial" w:cs="Arial"/>
          <w:szCs w:val="22"/>
        </w:rPr>
        <w:t> </w:t>
      </w:r>
      <w:r w:rsidR="00EB3C54">
        <w:rPr>
          <w:rFonts w:ascii="Arial" w:hAnsi="Arial" w:cs="Arial"/>
          <w:szCs w:val="22"/>
        </w:rPr>
        <w:t>2</w:t>
      </w:r>
      <w:r w:rsidR="00AA1FEF">
        <w:rPr>
          <w:rFonts w:ascii="Arial" w:hAnsi="Arial" w:cs="Arial"/>
          <w:szCs w:val="22"/>
        </w:rPr>
        <w:t>69</w:t>
      </w:r>
      <w:r w:rsidRPr="00CD66B8">
        <w:rPr>
          <w:rFonts w:ascii="Arial" w:hAnsi="Arial" w:cs="Arial"/>
          <w:szCs w:val="22"/>
        </w:rPr>
        <w:t xml:space="preserve"> тыс. руб.)</w:t>
      </w:r>
      <w:r w:rsidR="009A2C81">
        <w:rPr>
          <w:rFonts w:ascii="Arial" w:hAnsi="Arial" w:cs="Arial"/>
          <w:szCs w:val="22"/>
        </w:rPr>
        <w:t xml:space="preserve">, что обусловлено </w:t>
      </w:r>
      <w:r w:rsidR="009A2C81" w:rsidRPr="0060465E">
        <w:rPr>
          <w:rFonts w:ascii="Arial" w:hAnsi="Arial" w:cs="Arial"/>
          <w:szCs w:val="22"/>
        </w:rPr>
        <w:t>у</w:t>
      </w:r>
      <w:r w:rsidR="0078786F" w:rsidRPr="0060465E">
        <w:rPr>
          <w:rFonts w:ascii="Arial" w:hAnsi="Arial" w:cs="Arial"/>
          <w:szCs w:val="22"/>
        </w:rPr>
        <w:t>меньшение</w:t>
      </w:r>
      <w:r w:rsidR="00270413" w:rsidRPr="0060465E">
        <w:rPr>
          <w:rFonts w:ascii="Arial" w:hAnsi="Arial" w:cs="Arial"/>
          <w:szCs w:val="22"/>
        </w:rPr>
        <w:t>м</w:t>
      </w:r>
      <w:r w:rsidR="00E838A8" w:rsidRPr="0060465E">
        <w:rPr>
          <w:rFonts w:ascii="Arial" w:hAnsi="Arial" w:cs="Arial"/>
          <w:szCs w:val="22"/>
        </w:rPr>
        <w:t xml:space="preserve"> стоимости </w:t>
      </w:r>
      <w:r w:rsidR="00270413" w:rsidRPr="0060465E">
        <w:rPr>
          <w:rFonts w:ascii="Arial" w:hAnsi="Arial" w:cs="Arial"/>
          <w:szCs w:val="22"/>
        </w:rPr>
        <w:t>основных средств в результате начисления</w:t>
      </w:r>
      <w:r w:rsidR="0078786F" w:rsidRPr="0060465E">
        <w:rPr>
          <w:rFonts w:ascii="Arial" w:hAnsi="Arial" w:cs="Arial"/>
          <w:szCs w:val="22"/>
        </w:rPr>
        <w:t xml:space="preserve"> амортизации, а также выбытия нескольких объектов основных средств вследствие </w:t>
      </w:r>
      <w:r w:rsidR="00E838A8" w:rsidRPr="0060465E">
        <w:rPr>
          <w:rFonts w:ascii="Arial" w:hAnsi="Arial" w:cs="Arial"/>
          <w:szCs w:val="22"/>
        </w:rPr>
        <w:t>их</w:t>
      </w:r>
      <w:r w:rsidR="0078786F" w:rsidRPr="0060465E">
        <w:rPr>
          <w:rFonts w:ascii="Arial" w:hAnsi="Arial" w:cs="Arial"/>
          <w:szCs w:val="22"/>
        </w:rPr>
        <w:t xml:space="preserve"> физического или морального износа</w:t>
      </w:r>
      <w:r w:rsidR="00CD66B8" w:rsidRPr="0060465E">
        <w:rPr>
          <w:rFonts w:ascii="Arial" w:hAnsi="Arial" w:cs="Arial"/>
          <w:szCs w:val="22"/>
        </w:rPr>
        <w:t>.</w:t>
      </w:r>
    </w:p>
    <w:p w:rsidR="001E79E7" w:rsidRDefault="00E226E0" w:rsidP="001E79E7">
      <w:pPr>
        <w:pStyle w:val="a5"/>
        <w:spacing w:before="120" w:after="120"/>
        <w:ind w:firstLine="709"/>
        <w:rPr>
          <w:rFonts w:ascii="Arial" w:hAnsi="Arial" w:cs="Arial"/>
          <w:szCs w:val="22"/>
        </w:rPr>
      </w:pPr>
      <w:r w:rsidRPr="001B647D">
        <w:rPr>
          <w:rFonts w:ascii="Arial" w:hAnsi="Arial" w:cs="Arial"/>
          <w:szCs w:val="22"/>
        </w:rPr>
        <w:t xml:space="preserve">Величина оборотных активов </w:t>
      </w:r>
      <w:r w:rsidR="00AA1FEF">
        <w:rPr>
          <w:rFonts w:ascii="Arial" w:hAnsi="Arial" w:cs="Arial"/>
          <w:szCs w:val="22"/>
        </w:rPr>
        <w:t>увеличилась</w:t>
      </w:r>
      <w:r w:rsidRPr="001B647D">
        <w:rPr>
          <w:rFonts w:ascii="Arial" w:hAnsi="Arial" w:cs="Arial"/>
          <w:szCs w:val="22"/>
        </w:rPr>
        <w:t xml:space="preserve"> на </w:t>
      </w:r>
      <w:r w:rsidR="00AA1FEF">
        <w:rPr>
          <w:rFonts w:ascii="Arial" w:hAnsi="Arial" w:cs="Arial"/>
          <w:szCs w:val="22"/>
        </w:rPr>
        <w:t>100</w:t>
      </w:r>
      <w:r w:rsidRPr="001B647D">
        <w:rPr>
          <w:rFonts w:ascii="Arial" w:hAnsi="Arial" w:cs="Arial"/>
          <w:szCs w:val="22"/>
        </w:rPr>
        <w:t>,</w:t>
      </w:r>
      <w:r w:rsidR="00AA1FEF">
        <w:rPr>
          <w:rFonts w:ascii="Arial" w:hAnsi="Arial" w:cs="Arial"/>
          <w:szCs w:val="22"/>
        </w:rPr>
        <w:t>86</w:t>
      </w:r>
      <w:r w:rsidRPr="001B647D">
        <w:rPr>
          <w:rFonts w:ascii="Arial" w:hAnsi="Arial" w:cs="Arial"/>
          <w:szCs w:val="22"/>
        </w:rPr>
        <w:t xml:space="preserve">% (в абсолютном выражении – на </w:t>
      </w:r>
      <w:r w:rsidR="00AA1FEF">
        <w:rPr>
          <w:rFonts w:ascii="Arial" w:hAnsi="Arial" w:cs="Arial"/>
          <w:szCs w:val="22"/>
        </w:rPr>
        <w:t>4</w:t>
      </w:r>
      <w:r w:rsidR="00334C5D">
        <w:rPr>
          <w:rFonts w:ascii="Arial" w:hAnsi="Arial" w:cs="Arial"/>
          <w:szCs w:val="22"/>
        </w:rPr>
        <w:t xml:space="preserve"> </w:t>
      </w:r>
      <w:r w:rsidR="00AA1FEF">
        <w:rPr>
          <w:rFonts w:ascii="Arial" w:hAnsi="Arial" w:cs="Arial"/>
          <w:szCs w:val="22"/>
        </w:rPr>
        <w:t>403</w:t>
      </w:r>
      <w:r w:rsidRPr="001B647D">
        <w:rPr>
          <w:rFonts w:ascii="Arial" w:hAnsi="Arial" w:cs="Arial"/>
          <w:szCs w:val="22"/>
        </w:rPr>
        <w:t> </w:t>
      </w:r>
      <w:r w:rsidR="00AA1FEF">
        <w:rPr>
          <w:rFonts w:ascii="Arial" w:hAnsi="Arial" w:cs="Arial"/>
          <w:szCs w:val="22"/>
        </w:rPr>
        <w:t>667</w:t>
      </w:r>
      <w:r w:rsidRPr="001B647D">
        <w:rPr>
          <w:rFonts w:ascii="Arial" w:hAnsi="Arial" w:cs="Arial"/>
          <w:szCs w:val="22"/>
        </w:rPr>
        <w:t xml:space="preserve"> тыс. руб.), При этом структура оборотных актив</w:t>
      </w:r>
      <w:r w:rsidR="001E79E7">
        <w:rPr>
          <w:rFonts w:ascii="Arial" w:hAnsi="Arial" w:cs="Arial"/>
          <w:szCs w:val="22"/>
        </w:rPr>
        <w:t>ов изменилась следующим образом:</w:t>
      </w:r>
    </w:p>
    <w:p w:rsidR="001E79E7" w:rsidRPr="00CD42F8" w:rsidRDefault="00E226E0" w:rsidP="00CD42F8">
      <w:pPr>
        <w:pStyle w:val="a5"/>
        <w:numPr>
          <w:ilvl w:val="0"/>
          <w:numId w:val="45"/>
        </w:numPr>
        <w:spacing w:before="120"/>
        <w:ind w:left="0" w:firstLine="1072"/>
        <w:rPr>
          <w:rFonts w:ascii="Arial" w:hAnsi="Arial" w:cs="Arial"/>
          <w:szCs w:val="22"/>
        </w:rPr>
      </w:pPr>
      <w:r w:rsidRPr="00CD42F8">
        <w:rPr>
          <w:rFonts w:ascii="Arial" w:hAnsi="Arial" w:cs="Arial"/>
          <w:szCs w:val="22"/>
        </w:rPr>
        <w:t xml:space="preserve">Размер запасов </w:t>
      </w:r>
      <w:r w:rsidR="00E6116D" w:rsidRPr="00CD42F8">
        <w:rPr>
          <w:rFonts w:ascii="Arial" w:hAnsi="Arial" w:cs="Arial"/>
          <w:szCs w:val="22"/>
        </w:rPr>
        <w:t>увеличился</w:t>
      </w:r>
      <w:r w:rsidRPr="00CD42F8">
        <w:rPr>
          <w:rFonts w:ascii="Arial" w:hAnsi="Arial" w:cs="Arial"/>
          <w:szCs w:val="22"/>
        </w:rPr>
        <w:t xml:space="preserve"> на </w:t>
      </w:r>
      <w:r w:rsidR="00334C5D" w:rsidRPr="00CD42F8">
        <w:rPr>
          <w:rFonts w:ascii="Arial" w:hAnsi="Arial" w:cs="Arial"/>
          <w:szCs w:val="22"/>
        </w:rPr>
        <w:t>1</w:t>
      </w:r>
      <w:r w:rsidRPr="00CD42F8">
        <w:rPr>
          <w:rFonts w:ascii="Arial" w:hAnsi="Arial" w:cs="Arial"/>
          <w:szCs w:val="22"/>
        </w:rPr>
        <w:t> </w:t>
      </w:r>
      <w:r w:rsidR="00E6116D" w:rsidRPr="00CD42F8">
        <w:rPr>
          <w:rFonts w:ascii="Arial" w:hAnsi="Arial" w:cs="Arial"/>
          <w:szCs w:val="22"/>
        </w:rPr>
        <w:t>165</w:t>
      </w:r>
      <w:r w:rsidR="00334C5D" w:rsidRPr="00CD42F8">
        <w:rPr>
          <w:rFonts w:ascii="Arial" w:hAnsi="Arial" w:cs="Arial"/>
          <w:szCs w:val="22"/>
        </w:rPr>
        <w:t> </w:t>
      </w:r>
      <w:r w:rsidR="00E6116D" w:rsidRPr="00CD42F8">
        <w:rPr>
          <w:rFonts w:ascii="Arial" w:hAnsi="Arial" w:cs="Arial"/>
          <w:szCs w:val="22"/>
        </w:rPr>
        <w:t>920</w:t>
      </w:r>
      <w:r w:rsidR="00334C5D" w:rsidRPr="00CD42F8">
        <w:rPr>
          <w:rFonts w:ascii="Arial" w:hAnsi="Arial" w:cs="Arial"/>
          <w:szCs w:val="22"/>
        </w:rPr>
        <w:t xml:space="preserve"> </w:t>
      </w:r>
      <w:r w:rsidRPr="00CD42F8">
        <w:rPr>
          <w:rFonts w:ascii="Arial" w:hAnsi="Arial" w:cs="Arial"/>
          <w:szCs w:val="22"/>
        </w:rPr>
        <w:t xml:space="preserve">тыс. руб. (на </w:t>
      </w:r>
      <w:r w:rsidR="00E6116D" w:rsidRPr="00CD42F8">
        <w:rPr>
          <w:rFonts w:ascii="Arial" w:hAnsi="Arial" w:cs="Arial"/>
          <w:szCs w:val="22"/>
        </w:rPr>
        <w:t>59</w:t>
      </w:r>
      <w:r w:rsidR="001B647D" w:rsidRPr="00CD42F8">
        <w:rPr>
          <w:rFonts w:ascii="Arial" w:hAnsi="Arial" w:cs="Arial"/>
          <w:szCs w:val="22"/>
        </w:rPr>
        <w:t>,</w:t>
      </w:r>
      <w:r w:rsidR="00E6116D" w:rsidRPr="00CD42F8">
        <w:rPr>
          <w:rFonts w:ascii="Arial" w:hAnsi="Arial" w:cs="Arial"/>
          <w:szCs w:val="22"/>
        </w:rPr>
        <w:t>95</w:t>
      </w:r>
      <w:r w:rsidRPr="00CD42F8">
        <w:rPr>
          <w:rFonts w:ascii="Arial" w:hAnsi="Arial" w:cs="Arial"/>
          <w:szCs w:val="22"/>
        </w:rPr>
        <w:t>%)</w:t>
      </w:r>
      <w:r w:rsidR="007C46C9" w:rsidRPr="00CD42F8">
        <w:rPr>
          <w:rFonts w:ascii="Arial" w:hAnsi="Arial" w:cs="Arial"/>
          <w:szCs w:val="22"/>
        </w:rPr>
        <w:t xml:space="preserve">. </w:t>
      </w:r>
      <w:r w:rsidR="00E6116D" w:rsidRPr="00CD42F8">
        <w:rPr>
          <w:rFonts w:ascii="Arial" w:hAnsi="Arial" w:cs="Arial"/>
          <w:szCs w:val="22"/>
        </w:rPr>
        <w:t>Рост</w:t>
      </w:r>
      <w:r w:rsidR="00034EA6" w:rsidRPr="00CD42F8">
        <w:rPr>
          <w:rFonts w:ascii="Arial" w:hAnsi="Arial" w:cs="Arial"/>
          <w:szCs w:val="22"/>
        </w:rPr>
        <w:t xml:space="preserve"> </w:t>
      </w:r>
      <w:r w:rsidR="00FB7928" w:rsidRPr="00CD42F8">
        <w:rPr>
          <w:rFonts w:ascii="Arial" w:hAnsi="Arial" w:cs="Arial"/>
          <w:szCs w:val="22"/>
        </w:rPr>
        <w:t xml:space="preserve">связан с </w:t>
      </w:r>
      <w:r w:rsidR="007F1666" w:rsidRPr="00CD42F8">
        <w:rPr>
          <w:rFonts w:ascii="Arial" w:hAnsi="Arial" w:cs="Arial"/>
          <w:szCs w:val="22"/>
        </w:rPr>
        <w:t>созданием запас</w:t>
      </w:r>
      <w:r w:rsidR="00B52C91" w:rsidRPr="00CD42F8">
        <w:rPr>
          <w:rFonts w:ascii="Arial" w:hAnsi="Arial" w:cs="Arial"/>
          <w:szCs w:val="22"/>
        </w:rPr>
        <w:t xml:space="preserve">ов </w:t>
      </w:r>
      <w:r w:rsidR="009000E2">
        <w:rPr>
          <w:rFonts w:ascii="Arial" w:hAnsi="Arial" w:cs="Arial"/>
          <w:szCs w:val="22"/>
        </w:rPr>
        <w:t>чугуна</w:t>
      </w:r>
      <w:r w:rsidR="00B52C91" w:rsidRPr="00CD42F8">
        <w:rPr>
          <w:rFonts w:ascii="Arial" w:hAnsi="Arial" w:cs="Arial"/>
          <w:szCs w:val="22"/>
        </w:rPr>
        <w:t xml:space="preserve"> </w:t>
      </w:r>
      <w:r w:rsidR="00A37E76" w:rsidRPr="00CD42F8">
        <w:rPr>
          <w:rFonts w:ascii="Arial" w:hAnsi="Arial" w:cs="Arial"/>
          <w:szCs w:val="22"/>
        </w:rPr>
        <w:t>с целью сохранения доли</w:t>
      </w:r>
      <w:r w:rsidR="009000E2">
        <w:rPr>
          <w:rFonts w:ascii="Arial" w:hAnsi="Arial" w:cs="Arial"/>
          <w:szCs w:val="22"/>
        </w:rPr>
        <w:t xml:space="preserve"> присутствия</w:t>
      </w:r>
      <w:r w:rsidR="00A37E76" w:rsidRPr="00CD42F8">
        <w:rPr>
          <w:rFonts w:ascii="Arial" w:hAnsi="Arial" w:cs="Arial"/>
          <w:szCs w:val="22"/>
        </w:rPr>
        <w:t xml:space="preserve"> на </w:t>
      </w:r>
      <w:r w:rsidR="009000E2">
        <w:rPr>
          <w:rFonts w:ascii="Arial" w:hAnsi="Arial" w:cs="Arial"/>
          <w:szCs w:val="22"/>
        </w:rPr>
        <w:t>рынках РФ и стран СНГ</w:t>
      </w:r>
      <w:r w:rsidR="00A37E76" w:rsidRPr="00CD42F8">
        <w:rPr>
          <w:rFonts w:ascii="Arial" w:hAnsi="Arial" w:cs="Arial"/>
          <w:szCs w:val="22"/>
        </w:rPr>
        <w:t xml:space="preserve"> </w:t>
      </w:r>
      <w:r w:rsidR="00B52C91" w:rsidRPr="00CD42F8">
        <w:rPr>
          <w:rFonts w:ascii="Arial" w:hAnsi="Arial" w:cs="Arial"/>
          <w:szCs w:val="22"/>
        </w:rPr>
        <w:t xml:space="preserve">на период перевода </w:t>
      </w:r>
      <w:r w:rsidR="009000E2">
        <w:rPr>
          <w:rFonts w:ascii="Arial" w:hAnsi="Arial" w:cs="Arial"/>
          <w:szCs w:val="22"/>
        </w:rPr>
        <w:t xml:space="preserve">производства </w:t>
      </w:r>
      <w:r w:rsidR="00B52C91" w:rsidRPr="00CD42F8">
        <w:rPr>
          <w:rFonts w:ascii="Arial" w:hAnsi="Arial" w:cs="Arial"/>
          <w:szCs w:val="22"/>
        </w:rPr>
        <w:t>ДП№3 с чугуна на выплавку ферромарганца</w:t>
      </w:r>
      <w:r w:rsidR="001E79E7" w:rsidRPr="00CD42F8">
        <w:rPr>
          <w:rFonts w:ascii="Arial" w:hAnsi="Arial" w:cs="Arial"/>
          <w:szCs w:val="22"/>
        </w:rPr>
        <w:t xml:space="preserve">. </w:t>
      </w:r>
    </w:p>
    <w:p w:rsidR="001E79E7" w:rsidRPr="00CD42F8" w:rsidRDefault="001E79E7" w:rsidP="00CD42F8">
      <w:pPr>
        <w:pStyle w:val="a5"/>
        <w:numPr>
          <w:ilvl w:val="0"/>
          <w:numId w:val="45"/>
        </w:numPr>
        <w:ind w:left="0" w:firstLine="1072"/>
        <w:rPr>
          <w:rFonts w:ascii="Arial" w:hAnsi="Arial" w:cs="Arial"/>
          <w:szCs w:val="22"/>
        </w:rPr>
      </w:pPr>
      <w:r w:rsidRPr="00CD42F8">
        <w:rPr>
          <w:rFonts w:ascii="Arial" w:hAnsi="Arial" w:cs="Arial"/>
          <w:szCs w:val="22"/>
        </w:rPr>
        <w:t>Размер дебиторской задолженности увеличился на 3</w:t>
      </w:r>
      <w:r w:rsidR="00CB15ED" w:rsidRPr="00CD42F8">
        <w:rPr>
          <w:rFonts w:ascii="Arial" w:hAnsi="Arial" w:cs="Arial"/>
          <w:szCs w:val="22"/>
        </w:rPr>
        <w:t xml:space="preserve"> 192 927 тыс. руб. (на 142,31%) в результате роста цен на готовую продукцию и </w:t>
      </w:r>
      <w:r w:rsidR="000626B2" w:rsidRPr="00CD42F8">
        <w:rPr>
          <w:rFonts w:ascii="Arial" w:hAnsi="Arial" w:cs="Arial"/>
          <w:szCs w:val="22"/>
        </w:rPr>
        <w:t>товары для перепродажи</w:t>
      </w:r>
      <w:r w:rsidR="003A6D67" w:rsidRPr="00CD42F8">
        <w:rPr>
          <w:rFonts w:ascii="Arial" w:hAnsi="Arial" w:cs="Arial"/>
          <w:szCs w:val="22"/>
        </w:rPr>
        <w:t>, а также изменени</w:t>
      </w:r>
      <w:r w:rsidR="0060465E" w:rsidRPr="00CD42F8">
        <w:rPr>
          <w:rFonts w:ascii="Arial" w:hAnsi="Arial" w:cs="Arial"/>
          <w:szCs w:val="22"/>
        </w:rPr>
        <w:t>й</w:t>
      </w:r>
      <w:r w:rsidR="003A6D67" w:rsidRPr="00CD42F8">
        <w:rPr>
          <w:rFonts w:ascii="Arial" w:hAnsi="Arial" w:cs="Arial"/>
          <w:szCs w:val="22"/>
        </w:rPr>
        <w:t xml:space="preserve"> в структуре расчетов с покупателями.</w:t>
      </w:r>
    </w:p>
    <w:p w:rsidR="001E79E7" w:rsidRPr="00CD42F8" w:rsidRDefault="001E79E7" w:rsidP="00CD42F8">
      <w:pPr>
        <w:pStyle w:val="a5"/>
        <w:numPr>
          <w:ilvl w:val="0"/>
          <w:numId w:val="45"/>
        </w:numPr>
        <w:ind w:left="0" w:firstLine="1072"/>
        <w:rPr>
          <w:rFonts w:ascii="Arial" w:hAnsi="Arial" w:cs="Arial"/>
          <w:szCs w:val="22"/>
        </w:rPr>
      </w:pPr>
      <w:r w:rsidRPr="00CD42F8">
        <w:rPr>
          <w:rFonts w:ascii="Arial" w:hAnsi="Arial" w:cs="Arial"/>
          <w:szCs w:val="22"/>
        </w:rPr>
        <w:t>Денежные средства увеличились на 49 672 тыс. руб. (на 35,69%).</w:t>
      </w:r>
    </w:p>
    <w:p w:rsidR="001E79E7" w:rsidRPr="00CD42F8" w:rsidRDefault="001E79E7" w:rsidP="00CD42F8">
      <w:pPr>
        <w:pStyle w:val="a5"/>
        <w:numPr>
          <w:ilvl w:val="0"/>
          <w:numId w:val="45"/>
        </w:numPr>
        <w:ind w:left="0" w:firstLine="1072"/>
        <w:rPr>
          <w:rFonts w:ascii="Arial" w:hAnsi="Arial" w:cs="Arial"/>
          <w:szCs w:val="22"/>
        </w:rPr>
      </w:pPr>
      <w:r w:rsidRPr="00CD42F8">
        <w:rPr>
          <w:rFonts w:ascii="Arial" w:hAnsi="Arial" w:cs="Arial"/>
          <w:szCs w:val="22"/>
        </w:rPr>
        <w:t xml:space="preserve">Налог на добавленную стоимость увеличился на </w:t>
      </w:r>
      <w:r w:rsidRPr="00CD42F8">
        <w:rPr>
          <w:rFonts w:ascii="Arial" w:hAnsi="Arial" w:cs="Arial"/>
          <w:szCs w:val="22"/>
        </w:rPr>
        <w:tab/>
        <w:t>993 тыс. руб.  (на 352,13%).</w:t>
      </w:r>
    </w:p>
    <w:p w:rsidR="001E79E7" w:rsidRPr="00CD42F8" w:rsidRDefault="001E79E7" w:rsidP="00CD42F8">
      <w:pPr>
        <w:pStyle w:val="a5"/>
        <w:numPr>
          <w:ilvl w:val="0"/>
          <w:numId w:val="46"/>
        </w:numPr>
        <w:spacing w:after="120"/>
        <w:ind w:left="0" w:firstLine="1072"/>
        <w:rPr>
          <w:rFonts w:ascii="Arial" w:hAnsi="Arial" w:cs="Arial"/>
          <w:szCs w:val="22"/>
        </w:rPr>
      </w:pPr>
      <w:r w:rsidRPr="00CD42F8">
        <w:rPr>
          <w:rFonts w:ascii="Arial" w:hAnsi="Arial" w:cs="Arial"/>
          <w:szCs w:val="22"/>
        </w:rPr>
        <w:t>Прочие оборотные активы снизились на 5 845 тыс. руб. (на 15,19%).</w:t>
      </w:r>
    </w:p>
    <w:p w:rsidR="00413907" w:rsidRPr="00D422BA" w:rsidRDefault="00413907" w:rsidP="00413907">
      <w:pPr>
        <w:pStyle w:val="a5"/>
        <w:spacing w:before="120" w:after="120"/>
        <w:ind w:firstLine="0"/>
        <w:jc w:val="center"/>
        <w:rPr>
          <w:rFonts w:ascii="Arial" w:hAnsi="Arial" w:cs="Arial"/>
          <w:bCs/>
          <w:i/>
        </w:rPr>
      </w:pPr>
      <w:r w:rsidRPr="00334C5D">
        <w:rPr>
          <w:rFonts w:ascii="Arial" w:hAnsi="Arial" w:cs="Arial"/>
          <w:bCs/>
          <w:i/>
        </w:rPr>
        <w:t>Таблица 1</w:t>
      </w:r>
      <w:r w:rsidR="006B7CE0">
        <w:rPr>
          <w:rFonts w:ascii="Arial" w:hAnsi="Arial" w:cs="Arial"/>
          <w:bCs/>
          <w:i/>
        </w:rPr>
        <w:t>1</w:t>
      </w:r>
      <w:r w:rsidRPr="00334C5D">
        <w:rPr>
          <w:rFonts w:ascii="Arial" w:hAnsi="Arial" w:cs="Arial"/>
          <w:bCs/>
          <w:i/>
        </w:rPr>
        <w:t>. Бухгал</w:t>
      </w:r>
      <w:r w:rsidR="00334C5D" w:rsidRPr="00334C5D">
        <w:rPr>
          <w:rFonts w:ascii="Arial" w:hAnsi="Arial" w:cs="Arial"/>
          <w:bCs/>
          <w:i/>
        </w:rPr>
        <w:t>терский баланс на 31 декабря 202</w:t>
      </w:r>
      <w:r w:rsidR="007C3F55">
        <w:rPr>
          <w:rFonts w:ascii="Arial" w:hAnsi="Arial" w:cs="Arial"/>
          <w:bCs/>
          <w:i/>
        </w:rPr>
        <w:t>1</w:t>
      </w:r>
      <w:r w:rsidRPr="00334C5D">
        <w:rPr>
          <w:rFonts w:ascii="Arial" w:hAnsi="Arial" w:cs="Arial"/>
          <w:bCs/>
          <w:i/>
        </w:rPr>
        <w:t xml:space="preserve"> года</w:t>
      </w:r>
    </w:p>
    <w:p w:rsidR="00413907" w:rsidRDefault="00413907" w:rsidP="00413907">
      <w:pPr>
        <w:pStyle w:val="a5"/>
        <w:spacing w:before="120" w:after="120"/>
        <w:ind w:firstLine="0"/>
        <w:jc w:val="right"/>
        <w:rPr>
          <w:rFonts w:ascii="Arial" w:hAnsi="Arial" w:cs="Arial"/>
          <w:bCs/>
          <w:sz w:val="16"/>
        </w:rPr>
      </w:pPr>
      <w:r w:rsidRPr="00D422BA">
        <w:rPr>
          <w:rFonts w:ascii="Arial" w:hAnsi="Arial" w:cs="Arial"/>
          <w:bCs/>
          <w:sz w:val="16"/>
        </w:rPr>
        <w:t>(тыс. руб.)</w:t>
      </w:r>
    </w:p>
    <w:p w:rsidR="009A2C81" w:rsidRDefault="009A2C81" w:rsidP="00413907">
      <w:pPr>
        <w:pStyle w:val="a5"/>
        <w:spacing w:before="120" w:after="120"/>
        <w:ind w:firstLine="0"/>
        <w:jc w:val="right"/>
        <w:rPr>
          <w:rFonts w:ascii="Arial" w:hAnsi="Arial" w:cs="Arial"/>
          <w:bCs/>
          <w:sz w:val="16"/>
        </w:rPr>
      </w:pPr>
    </w:p>
    <w:tbl>
      <w:tblPr>
        <w:tblW w:w="10627" w:type="dxa"/>
        <w:jc w:val="center"/>
        <w:tblLook w:val="04A0"/>
      </w:tblPr>
      <w:tblGrid>
        <w:gridCol w:w="2080"/>
        <w:gridCol w:w="892"/>
        <w:gridCol w:w="1418"/>
        <w:gridCol w:w="1275"/>
        <w:gridCol w:w="1276"/>
        <w:gridCol w:w="1183"/>
        <w:gridCol w:w="1369"/>
        <w:gridCol w:w="1134"/>
      </w:tblGrid>
      <w:tr w:rsidR="009A2C81" w:rsidRPr="009A2C81" w:rsidTr="00EB3C54">
        <w:trPr>
          <w:trHeight w:val="960"/>
          <w:jc w:val="center"/>
        </w:trPr>
        <w:tc>
          <w:tcPr>
            <w:tcW w:w="2080"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9A2C81" w:rsidRPr="009A2C81" w:rsidRDefault="009A2C81" w:rsidP="009A2C81">
            <w:pPr>
              <w:jc w:val="center"/>
              <w:rPr>
                <w:rFonts w:ascii="Arial" w:hAnsi="Arial" w:cs="Arial"/>
                <w:b/>
                <w:bCs/>
                <w:color w:val="000000"/>
                <w:sz w:val="18"/>
                <w:szCs w:val="18"/>
              </w:rPr>
            </w:pPr>
            <w:bookmarkStart w:id="30" w:name="RANGE!A1:H60"/>
            <w:r w:rsidRPr="009A2C81">
              <w:rPr>
                <w:rFonts w:ascii="Arial" w:hAnsi="Arial" w:cs="Arial"/>
                <w:b/>
                <w:bCs/>
                <w:color w:val="000000"/>
                <w:sz w:val="18"/>
                <w:szCs w:val="18"/>
              </w:rPr>
              <w:lastRenderedPageBreak/>
              <w:t>БАЛАНС</w:t>
            </w:r>
            <w:bookmarkEnd w:id="30"/>
          </w:p>
        </w:tc>
        <w:tc>
          <w:tcPr>
            <w:tcW w:w="892" w:type="dxa"/>
            <w:tcBorders>
              <w:top w:val="single" w:sz="4" w:space="0" w:color="auto"/>
              <w:left w:val="nil"/>
              <w:bottom w:val="single" w:sz="4" w:space="0" w:color="auto"/>
              <w:right w:val="single" w:sz="4" w:space="0" w:color="auto"/>
            </w:tcBorders>
            <w:shd w:val="clear" w:color="000000" w:fill="C6D9F1"/>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Код</w:t>
            </w:r>
          </w:p>
        </w:tc>
        <w:tc>
          <w:tcPr>
            <w:tcW w:w="1418" w:type="dxa"/>
            <w:tcBorders>
              <w:top w:val="single" w:sz="4" w:space="0" w:color="auto"/>
              <w:left w:val="nil"/>
              <w:bottom w:val="single" w:sz="4" w:space="0" w:color="auto"/>
              <w:right w:val="single" w:sz="4" w:space="0" w:color="auto"/>
            </w:tcBorders>
            <w:shd w:val="clear" w:color="000000" w:fill="C6D9F1"/>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На конец отчетного периода</w:t>
            </w:r>
          </w:p>
        </w:tc>
        <w:tc>
          <w:tcPr>
            <w:tcW w:w="1275" w:type="dxa"/>
            <w:tcBorders>
              <w:top w:val="single" w:sz="4" w:space="0" w:color="auto"/>
              <w:left w:val="nil"/>
              <w:bottom w:val="single" w:sz="4" w:space="0" w:color="auto"/>
              <w:right w:val="single" w:sz="4" w:space="0" w:color="auto"/>
            </w:tcBorders>
            <w:shd w:val="clear" w:color="000000" w:fill="C6D9F1"/>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Структура, %</w:t>
            </w:r>
          </w:p>
        </w:tc>
        <w:tc>
          <w:tcPr>
            <w:tcW w:w="1276" w:type="dxa"/>
            <w:tcBorders>
              <w:top w:val="single" w:sz="4" w:space="0" w:color="auto"/>
              <w:left w:val="nil"/>
              <w:bottom w:val="single" w:sz="4" w:space="0" w:color="auto"/>
              <w:right w:val="single" w:sz="4" w:space="0" w:color="auto"/>
            </w:tcBorders>
            <w:shd w:val="clear" w:color="000000" w:fill="C6D9F1"/>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На начало отчетного периода</w:t>
            </w:r>
          </w:p>
        </w:tc>
        <w:tc>
          <w:tcPr>
            <w:tcW w:w="1183" w:type="dxa"/>
            <w:tcBorders>
              <w:top w:val="single" w:sz="4" w:space="0" w:color="auto"/>
              <w:left w:val="nil"/>
              <w:bottom w:val="single" w:sz="4" w:space="0" w:color="auto"/>
              <w:right w:val="single" w:sz="4" w:space="0" w:color="auto"/>
            </w:tcBorders>
            <w:shd w:val="clear" w:color="000000" w:fill="C6D9F1"/>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Структура, %</w:t>
            </w:r>
          </w:p>
        </w:tc>
        <w:tc>
          <w:tcPr>
            <w:tcW w:w="1369" w:type="dxa"/>
            <w:tcBorders>
              <w:top w:val="single" w:sz="4" w:space="0" w:color="auto"/>
              <w:left w:val="nil"/>
              <w:bottom w:val="single" w:sz="4" w:space="0" w:color="auto"/>
              <w:right w:val="single" w:sz="4" w:space="0" w:color="auto"/>
            </w:tcBorders>
            <w:shd w:val="clear" w:color="000000" w:fill="C6D9F1"/>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Абсолютное отклонение</w:t>
            </w:r>
          </w:p>
        </w:tc>
        <w:tc>
          <w:tcPr>
            <w:tcW w:w="1134" w:type="dxa"/>
            <w:tcBorders>
              <w:top w:val="single" w:sz="4" w:space="0" w:color="auto"/>
              <w:left w:val="nil"/>
              <w:bottom w:val="single" w:sz="4" w:space="0" w:color="auto"/>
              <w:right w:val="single" w:sz="4" w:space="0" w:color="auto"/>
            </w:tcBorders>
            <w:shd w:val="clear" w:color="000000" w:fill="C6D9F1"/>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Темп прироста, %</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АКТИВ</w:t>
            </w:r>
          </w:p>
        </w:tc>
        <w:tc>
          <w:tcPr>
            <w:tcW w:w="892"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I. ВНЕОБОРОТНЫЕ АКТИВЫ</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Нематериальные активы</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1110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 </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Основные средства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1150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2 615 796</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88,71%</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2 721 965</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85,28%</w:t>
            </w:r>
          </w:p>
        </w:tc>
        <w:tc>
          <w:tcPr>
            <w:tcW w:w="1369"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-106 169</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-3,90%</w:t>
            </w:r>
          </w:p>
        </w:tc>
      </w:tr>
      <w:tr w:rsidR="009A2C81"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Здания и сооружения</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1 893 280</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72,38%</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1 969 823</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72,37%</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-76 542</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-3,89%</w:t>
            </w:r>
          </w:p>
        </w:tc>
      </w:tr>
      <w:tr w:rsidR="009A2C81"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Машины и оборудование</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669 861</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25,61%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698 529</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25,66%</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-28 667</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-4,10%</w:t>
            </w:r>
          </w:p>
        </w:tc>
      </w:tr>
      <w:tr w:rsidR="009A2C81"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Прочее</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52 654</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2,01%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56 863</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2,09%</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-4 209</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-7,40%</w:t>
            </w:r>
          </w:p>
        </w:tc>
      </w:tr>
      <w:tr w:rsidR="009A2C81" w:rsidRPr="009A2C81" w:rsidTr="00EB3C54">
        <w:trPr>
          <w:trHeight w:val="72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Доходные вложения в материальные ценности</w:t>
            </w:r>
          </w:p>
        </w:tc>
        <w:tc>
          <w:tcPr>
            <w:tcW w:w="892"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1160</w:t>
            </w:r>
          </w:p>
        </w:tc>
        <w:tc>
          <w:tcPr>
            <w:tcW w:w="1418"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Финансовые вложения</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1170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100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-100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-100,00%</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Отложенные налоговые активы</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1180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Прочие внеоборотные активы</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1190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332 758</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11,29%</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469 758</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14,72%</w:t>
            </w:r>
          </w:p>
        </w:tc>
        <w:tc>
          <w:tcPr>
            <w:tcW w:w="1369"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-137 000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-29,16%</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Итого по разделу I</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1100</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2 948 554</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25,16%</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3 191 823</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42,23%</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-243 269</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-7,62%</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II. ОБОРОТНЫЕ АКТИВЫ</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Запасы</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1210</w:t>
            </w:r>
          </w:p>
        </w:tc>
        <w:tc>
          <w:tcPr>
            <w:tcW w:w="1418"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3 110 763</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35,47%</w:t>
            </w:r>
          </w:p>
        </w:tc>
        <w:tc>
          <w:tcPr>
            <w:tcW w:w="1276"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1 944 843</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44,54%</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1 165 920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59,95%</w:t>
            </w:r>
          </w:p>
        </w:tc>
      </w:tr>
      <w:tr w:rsidR="009A2C81" w:rsidRPr="009A2C81" w:rsidTr="00EB3C54">
        <w:trPr>
          <w:trHeight w:val="45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Сырье и материалы (10,12, 13, 16)</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905 523</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29,11%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1 416 303</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72,82%</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-510 779</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-36,06%</w:t>
            </w:r>
          </w:p>
        </w:tc>
      </w:tr>
      <w:tr w:rsidR="009A2C81" w:rsidRPr="009A2C81" w:rsidTr="00EB3C54">
        <w:trPr>
          <w:trHeight w:val="67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Незавершенное производство (20, 21, 23, 29, 30, 36, 44)</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48 252</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1,55%</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26 011</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1,34%</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22 241</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85,51%</w:t>
            </w:r>
          </w:p>
        </w:tc>
      </w:tr>
      <w:tr w:rsidR="009A2C81" w:rsidRPr="009A2C81" w:rsidTr="00EB3C54">
        <w:trPr>
          <w:trHeight w:val="67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Готовая продукция и товары для перепродажи (43, 40, 41)</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2 016 806</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64,83%</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308 029</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15,84%</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1 708 777</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554,75%</w:t>
            </w:r>
          </w:p>
        </w:tc>
      </w:tr>
      <w:tr w:rsidR="009A2C81" w:rsidRPr="009A2C81" w:rsidTr="00EB3C54">
        <w:trPr>
          <w:trHeight w:val="45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 xml:space="preserve">Товары </w:t>
            </w:r>
            <w:r w:rsidR="00EB3C54" w:rsidRPr="009A2C81">
              <w:rPr>
                <w:rFonts w:ascii="Arial" w:hAnsi="Arial" w:cs="Arial"/>
                <w:i/>
                <w:iCs/>
                <w:color w:val="808080"/>
                <w:sz w:val="16"/>
                <w:szCs w:val="16"/>
              </w:rPr>
              <w:t>отгруженные (</w:t>
            </w:r>
            <w:r w:rsidRPr="009A2C81">
              <w:rPr>
                <w:rFonts w:ascii="Arial" w:hAnsi="Arial" w:cs="Arial"/>
                <w:i/>
                <w:iCs/>
                <w:color w:val="808080"/>
                <w:sz w:val="16"/>
                <w:szCs w:val="16"/>
              </w:rPr>
              <w:t>45)</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139 948</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4,50%</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194 263</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9,99%</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-54 315</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-27,96%</w:t>
            </w:r>
          </w:p>
        </w:tc>
      </w:tr>
      <w:tr w:rsidR="009A2C81" w:rsidRPr="009A2C81" w:rsidTr="00EB3C54">
        <w:trPr>
          <w:trHeight w:val="45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Расходы будущих периодов (31)</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234</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0,01%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237</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0,01%</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-1,47%</w:t>
            </w:r>
          </w:p>
        </w:tc>
      </w:tr>
      <w:tr w:rsidR="009A2C81" w:rsidRPr="009A2C81" w:rsidTr="00EB3C54">
        <w:trPr>
          <w:trHeight w:val="12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Налог на добавленную стоимость по приобретенным ценностям</w:t>
            </w:r>
          </w:p>
        </w:tc>
        <w:tc>
          <w:tcPr>
            <w:tcW w:w="892"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1220</w:t>
            </w:r>
          </w:p>
        </w:tc>
        <w:tc>
          <w:tcPr>
            <w:tcW w:w="1418"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1 275</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0,01%</w:t>
            </w:r>
          </w:p>
        </w:tc>
        <w:tc>
          <w:tcPr>
            <w:tcW w:w="1276"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282</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0,01%</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993</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352,13%</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Дебиторская задолженность</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1230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5 436 492</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61,99%</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2 243 565</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51,38%</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3 192 927</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142,31%</w:t>
            </w:r>
          </w:p>
        </w:tc>
      </w:tr>
      <w:tr w:rsidR="009A2C81" w:rsidRPr="009A2C81" w:rsidTr="00EB3C54">
        <w:trPr>
          <w:trHeight w:val="45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покупатели и заказчики (62, 76, 82)</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5 297 803</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97,45%</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2 184 661</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97,37%</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3 113 142</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142,50%</w:t>
            </w:r>
          </w:p>
        </w:tc>
      </w:tr>
      <w:tr w:rsidR="009A2C81"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авансы выданные</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121 520</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2,24%</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38 398</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1,71%</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83 122</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216,47%</w:t>
            </w:r>
          </w:p>
        </w:tc>
      </w:tr>
      <w:tr w:rsidR="009A2C81"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прочие дебиторы</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17 169</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0,32%</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20 506</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0,91%</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-3 337</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-16,27%</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Финансовые вложения</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1240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Денежные средства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1250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188 832</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2,15%</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139 160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3,19%</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49 672</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35,69%</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Прочие оборотные активы</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1260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32 623</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0,37%</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38 468</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0,88%</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-5 845</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-15,19%</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Итого по разделу II</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1200</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8 769 985</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74,84%</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4 366 318</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57,77%</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4 403 667</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100,86%</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BFBFBF"/>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БАЛАНС</w:t>
            </w:r>
          </w:p>
        </w:tc>
        <w:tc>
          <w:tcPr>
            <w:tcW w:w="892"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1600</w:t>
            </w:r>
          </w:p>
        </w:tc>
        <w:tc>
          <w:tcPr>
            <w:tcW w:w="1418"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11 718 539</w:t>
            </w:r>
          </w:p>
        </w:tc>
        <w:tc>
          <w:tcPr>
            <w:tcW w:w="1275"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100,00%</w:t>
            </w:r>
          </w:p>
        </w:tc>
        <w:tc>
          <w:tcPr>
            <w:tcW w:w="1276"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7 558 141</w:t>
            </w:r>
          </w:p>
        </w:tc>
        <w:tc>
          <w:tcPr>
            <w:tcW w:w="1183"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100,00%</w:t>
            </w:r>
          </w:p>
        </w:tc>
        <w:tc>
          <w:tcPr>
            <w:tcW w:w="1369"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4 160 398</w:t>
            </w:r>
          </w:p>
        </w:tc>
        <w:tc>
          <w:tcPr>
            <w:tcW w:w="1134"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55,05%</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BFBFBF"/>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ПАССИВ</w:t>
            </w:r>
          </w:p>
        </w:tc>
        <w:tc>
          <w:tcPr>
            <w:tcW w:w="892"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III. КАПИТАЛ И РЕЗЕРВЫ 6</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96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lastRenderedPageBreak/>
              <w:t>Уставный капитал (складочный капитал, уставный фонд, вклады товарищей)</w:t>
            </w:r>
          </w:p>
        </w:tc>
        <w:tc>
          <w:tcPr>
            <w:tcW w:w="892" w:type="dxa"/>
            <w:tcBorders>
              <w:top w:val="nil"/>
              <w:left w:val="nil"/>
              <w:bottom w:val="nil"/>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1310</w:t>
            </w:r>
          </w:p>
        </w:tc>
        <w:tc>
          <w:tcPr>
            <w:tcW w:w="1418" w:type="dxa"/>
            <w:tcBorders>
              <w:top w:val="nil"/>
              <w:left w:val="nil"/>
              <w:bottom w:val="nil"/>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28 473</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0,60%</w:t>
            </w:r>
          </w:p>
        </w:tc>
        <w:tc>
          <w:tcPr>
            <w:tcW w:w="1276" w:type="dxa"/>
            <w:tcBorders>
              <w:top w:val="nil"/>
              <w:left w:val="nil"/>
              <w:bottom w:val="nil"/>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28 473</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0,84%</w:t>
            </w:r>
          </w:p>
        </w:tc>
        <w:tc>
          <w:tcPr>
            <w:tcW w:w="1369" w:type="dxa"/>
            <w:tcBorders>
              <w:top w:val="nil"/>
              <w:left w:val="nil"/>
              <w:bottom w:val="nil"/>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nil"/>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r>
      <w:tr w:rsidR="009A2C81" w:rsidRPr="009A2C81" w:rsidTr="00EB3C54">
        <w:trPr>
          <w:trHeight w:val="72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Собственные акции, выкупленные у акционеров</w:t>
            </w:r>
          </w:p>
        </w:tc>
        <w:tc>
          <w:tcPr>
            <w:tcW w:w="892" w:type="dxa"/>
            <w:tcBorders>
              <w:top w:val="single" w:sz="4" w:space="0" w:color="auto"/>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1320</w:t>
            </w:r>
          </w:p>
        </w:tc>
        <w:tc>
          <w:tcPr>
            <w:tcW w:w="1418" w:type="dxa"/>
            <w:tcBorders>
              <w:top w:val="single" w:sz="4" w:space="0" w:color="auto"/>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single" w:sz="4" w:space="0" w:color="auto"/>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single" w:sz="4" w:space="0" w:color="auto"/>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single" w:sz="4" w:space="0" w:color="auto"/>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Переоценка внеоборотных активов</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1340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522 627</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11,05%</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565 645</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16,70%</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-43 018</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-7,61%</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Добавочный капитал (без переоценки)</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1350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1 671 754</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35,34%</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1 671 754</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49,37%</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Резервный капитал</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1360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1 424</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0,03%</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1 424</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0,04%</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r>
      <w:tr w:rsidR="009A2C81" w:rsidRPr="009A2C81" w:rsidTr="00EB3C54">
        <w:trPr>
          <w:trHeight w:val="72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Нераспределенная прибыль (непокрытый убыток)</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1370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2 505 669</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52,97%</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1 119 124</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33,05%</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1 386 545</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123,90%</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Итого по разделу III</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1300</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4 729 947</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40,36%</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3 386 420</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44,80%</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1 343 527</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39,67%</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IV. ДОЛГОСРОЧНЫЕ ОБЯЗАТЕЛЬСТВА</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Заемные средства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1410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1 505 135</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85,59%</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362 729</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56,35%</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1 142 406</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314,95%</w:t>
            </w:r>
          </w:p>
        </w:tc>
      </w:tr>
      <w:tr w:rsidR="009A2C81" w:rsidRPr="009A2C81" w:rsidTr="00EB3C54">
        <w:trPr>
          <w:trHeight w:val="72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Отложенные налоговые обязательства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1420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253 467</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14,41%</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280 960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43,65%</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-27 493</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-9,79%</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Оценочные обязательства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1430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Прочие обязательства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1450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Итого по разделу IV</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1400</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1 758 602</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15,01%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643 689</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8,52%</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1 114 913</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173,21%</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V. КРАТКОСРОЧНЫЕ ОБЯЗАТЕЛЬСТВА</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color w:val="000000"/>
              </w:rPr>
            </w:pPr>
            <w:r w:rsidRPr="009A2C81">
              <w:rPr>
                <w:rFonts w:ascii="Calibri" w:hAnsi="Calibri" w:cs="Calibri"/>
                <w:color w:val="000000"/>
                <w:sz w:val="22"/>
                <w:szCs w:val="22"/>
              </w:rPr>
              <w:t> </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Заемные средства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1510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1 890 556</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36,15%</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1 468 007</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41,61%</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422 549</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28,78%</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Кредиторская задолженность</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1520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3 234 506</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61,85%</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1 972 865</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55,92%</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1 261 641</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63,95%</w:t>
            </w:r>
          </w:p>
        </w:tc>
      </w:tr>
      <w:tr w:rsidR="009A2C81" w:rsidRPr="009A2C81" w:rsidTr="00EB3C54">
        <w:trPr>
          <w:trHeight w:val="45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поставщики и подрядчики (60, 76)</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2 869 411</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88,71%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1 685 070</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85,41%</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1 184 341</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70,28%</w:t>
            </w:r>
          </w:p>
        </w:tc>
      </w:tr>
      <w:tr w:rsidR="009A2C81" w:rsidRPr="009A2C81" w:rsidTr="00EB3C54">
        <w:trPr>
          <w:trHeight w:val="67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задолженность перед персоналом организации (70)</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42 411</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1,31%</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21 962</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1,11%</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20 449</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93,11%</w:t>
            </w:r>
          </w:p>
        </w:tc>
      </w:tr>
      <w:tr w:rsidR="009A2C81" w:rsidRPr="009A2C81" w:rsidTr="00EB3C54">
        <w:trPr>
          <w:trHeight w:val="67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задолженность перед государственными ВБФ (69)</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26 562</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0,82%</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21 684</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1,10%</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4 878</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22,50%</w:t>
            </w:r>
          </w:p>
        </w:tc>
      </w:tr>
      <w:tr w:rsidR="009A2C81" w:rsidRPr="009A2C81" w:rsidTr="00EB3C54">
        <w:trPr>
          <w:trHeight w:val="45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i/>
                <w:iCs/>
                <w:color w:val="808080"/>
                <w:sz w:val="16"/>
                <w:szCs w:val="16"/>
              </w:rPr>
            </w:pPr>
            <w:r w:rsidRPr="009A2C81">
              <w:rPr>
                <w:rFonts w:ascii="Arial" w:hAnsi="Arial" w:cs="Arial"/>
                <w:i/>
                <w:iCs/>
                <w:color w:val="808080"/>
                <w:sz w:val="16"/>
                <w:szCs w:val="16"/>
              </w:rPr>
              <w:t>задолженность по налогам и сборам</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118 066</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3,65%</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49 508</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2,51%</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68 558</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i/>
                <w:iCs/>
                <w:color w:val="808080"/>
                <w:sz w:val="16"/>
                <w:szCs w:val="16"/>
              </w:rPr>
            </w:pPr>
            <w:r w:rsidRPr="009A2C81">
              <w:rPr>
                <w:rFonts w:ascii="Arial" w:hAnsi="Arial" w:cs="Arial"/>
                <w:i/>
                <w:iCs/>
                <w:color w:val="808080"/>
                <w:sz w:val="16"/>
                <w:szCs w:val="16"/>
              </w:rPr>
              <w:t>138,48%</w:t>
            </w:r>
          </w:p>
        </w:tc>
      </w:tr>
      <w:tr w:rsidR="00DE2653"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DE2653" w:rsidRPr="009A2C81" w:rsidRDefault="00DE2653" w:rsidP="00DE2653">
            <w:pPr>
              <w:rPr>
                <w:rFonts w:ascii="Arial" w:hAnsi="Arial" w:cs="Arial"/>
                <w:i/>
                <w:iCs/>
                <w:color w:val="808080"/>
                <w:sz w:val="16"/>
                <w:szCs w:val="16"/>
              </w:rPr>
            </w:pPr>
            <w:r w:rsidRPr="009A2C81">
              <w:rPr>
                <w:rFonts w:ascii="Arial" w:hAnsi="Arial" w:cs="Arial"/>
                <w:i/>
                <w:iCs/>
                <w:color w:val="808080"/>
                <w:sz w:val="16"/>
                <w:szCs w:val="16"/>
              </w:rPr>
              <w:t>авансы полученные</w:t>
            </w:r>
          </w:p>
        </w:tc>
        <w:tc>
          <w:tcPr>
            <w:tcW w:w="892" w:type="dxa"/>
            <w:tcBorders>
              <w:top w:val="nil"/>
              <w:left w:val="nil"/>
              <w:bottom w:val="single" w:sz="4" w:space="0" w:color="auto"/>
              <w:right w:val="single" w:sz="4" w:space="0" w:color="auto"/>
            </w:tcBorders>
            <w:shd w:val="clear" w:color="auto" w:fill="auto"/>
            <w:noWrap/>
            <w:vAlign w:val="center"/>
            <w:hideMark/>
          </w:tcPr>
          <w:p w:rsidR="00DE2653" w:rsidRPr="009A2C81" w:rsidRDefault="00DE2653" w:rsidP="00DE2653">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175 335</w:t>
            </w:r>
          </w:p>
        </w:tc>
        <w:tc>
          <w:tcPr>
            <w:tcW w:w="1275"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5,42%</w:t>
            </w:r>
          </w:p>
        </w:tc>
        <w:tc>
          <w:tcPr>
            <w:tcW w:w="1276"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192 468</w:t>
            </w:r>
          </w:p>
        </w:tc>
        <w:tc>
          <w:tcPr>
            <w:tcW w:w="1183"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9,76%</w:t>
            </w:r>
          </w:p>
        </w:tc>
        <w:tc>
          <w:tcPr>
            <w:tcW w:w="1369"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-17 133</w:t>
            </w:r>
          </w:p>
        </w:tc>
        <w:tc>
          <w:tcPr>
            <w:tcW w:w="1134"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-8,90%</w:t>
            </w:r>
          </w:p>
        </w:tc>
      </w:tr>
      <w:tr w:rsidR="00DE2653" w:rsidRPr="009A2C81" w:rsidTr="00EB3C54">
        <w:trPr>
          <w:trHeight w:val="225"/>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DE2653" w:rsidRPr="009A2C81" w:rsidRDefault="00DE2653" w:rsidP="00DE2653">
            <w:pPr>
              <w:rPr>
                <w:rFonts w:ascii="Arial" w:hAnsi="Arial" w:cs="Arial"/>
                <w:i/>
                <w:iCs/>
                <w:color w:val="808080"/>
                <w:sz w:val="16"/>
                <w:szCs w:val="16"/>
              </w:rPr>
            </w:pPr>
            <w:r w:rsidRPr="009A2C81">
              <w:rPr>
                <w:rFonts w:ascii="Arial" w:hAnsi="Arial" w:cs="Arial"/>
                <w:i/>
                <w:iCs/>
                <w:color w:val="808080"/>
                <w:sz w:val="16"/>
                <w:szCs w:val="16"/>
              </w:rPr>
              <w:t>прочие кредиторы</w:t>
            </w:r>
          </w:p>
        </w:tc>
        <w:tc>
          <w:tcPr>
            <w:tcW w:w="892" w:type="dxa"/>
            <w:tcBorders>
              <w:top w:val="nil"/>
              <w:left w:val="nil"/>
              <w:bottom w:val="single" w:sz="4" w:space="0" w:color="auto"/>
              <w:right w:val="single" w:sz="4" w:space="0" w:color="auto"/>
            </w:tcBorders>
            <w:shd w:val="clear" w:color="auto" w:fill="auto"/>
            <w:noWrap/>
            <w:vAlign w:val="center"/>
            <w:hideMark/>
          </w:tcPr>
          <w:p w:rsidR="00DE2653" w:rsidRPr="009A2C81" w:rsidRDefault="00DE2653" w:rsidP="00DE2653">
            <w:pPr>
              <w:rPr>
                <w:rFonts w:ascii="Calibri" w:hAnsi="Calibri" w:cs="Calibri"/>
                <w:i/>
                <w:iCs/>
                <w:color w:val="808080"/>
                <w:sz w:val="16"/>
                <w:szCs w:val="16"/>
              </w:rPr>
            </w:pPr>
            <w:r w:rsidRPr="009A2C81">
              <w:rPr>
                <w:rFonts w:ascii="Calibri" w:hAnsi="Calibri" w:cs="Calibri"/>
                <w:i/>
                <w:iCs/>
                <w:color w:val="80808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2 721</w:t>
            </w:r>
          </w:p>
        </w:tc>
        <w:tc>
          <w:tcPr>
            <w:tcW w:w="1275"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0,08%</w:t>
            </w:r>
          </w:p>
        </w:tc>
        <w:tc>
          <w:tcPr>
            <w:tcW w:w="1276"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2 173</w:t>
            </w:r>
          </w:p>
        </w:tc>
        <w:tc>
          <w:tcPr>
            <w:tcW w:w="1183"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0,11%</w:t>
            </w:r>
          </w:p>
        </w:tc>
        <w:tc>
          <w:tcPr>
            <w:tcW w:w="1369"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548</w:t>
            </w:r>
          </w:p>
        </w:tc>
        <w:tc>
          <w:tcPr>
            <w:tcW w:w="1134" w:type="dxa"/>
            <w:tcBorders>
              <w:top w:val="nil"/>
              <w:left w:val="nil"/>
              <w:bottom w:val="single" w:sz="4" w:space="0" w:color="auto"/>
              <w:right w:val="single" w:sz="4" w:space="0" w:color="auto"/>
            </w:tcBorders>
            <w:shd w:val="clear" w:color="auto" w:fill="auto"/>
            <w:noWrap/>
            <w:vAlign w:val="center"/>
            <w:hideMark/>
          </w:tcPr>
          <w:p w:rsidR="00DE2653" w:rsidRDefault="00DE2653" w:rsidP="00DE2653">
            <w:pPr>
              <w:jc w:val="center"/>
              <w:rPr>
                <w:rFonts w:ascii="Arial" w:hAnsi="Arial" w:cs="Arial"/>
                <w:i/>
                <w:iCs/>
                <w:color w:val="808080"/>
                <w:sz w:val="16"/>
                <w:szCs w:val="16"/>
              </w:rPr>
            </w:pPr>
            <w:r>
              <w:rPr>
                <w:rFonts w:ascii="Arial" w:hAnsi="Arial" w:cs="Arial"/>
                <w:i/>
                <w:iCs/>
                <w:color w:val="808080"/>
                <w:sz w:val="16"/>
                <w:szCs w:val="16"/>
              </w:rPr>
              <w:t>25,22%</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Доходы будущих периодов (83)</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1530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Оценочные обязательства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1540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104 928</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2,01%</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87 160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2,47%</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17 768</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20,39%</w:t>
            </w:r>
          </w:p>
        </w:tc>
      </w:tr>
      <w:tr w:rsidR="009A2C81" w:rsidRPr="009A2C81" w:rsidTr="00EB3C54">
        <w:trPr>
          <w:trHeight w:val="480"/>
          <w:jc w:val="center"/>
        </w:trPr>
        <w:tc>
          <w:tcPr>
            <w:tcW w:w="2080" w:type="dxa"/>
            <w:tcBorders>
              <w:top w:val="nil"/>
              <w:left w:val="single" w:sz="4" w:space="0" w:color="auto"/>
              <w:bottom w:val="single" w:sz="4" w:space="0" w:color="auto"/>
              <w:right w:val="single" w:sz="4" w:space="0" w:color="auto"/>
            </w:tcBorders>
            <w:shd w:val="clear" w:color="000000" w:fill="F2F2F2"/>
            <w:vAlign w:val="center"/>
            <w:hideMark/>
          </w:tcPr>
          <w:p w:rsidR="009A2C81" w:rsidRPr="009A2C81" w:rsidRDefault="009A2C81" w:rsidP="009A2C81">
            <w:pPr>
              <w:rPr>
                <w:rFonts w:ascii="Arial" w:hAnsi="Arial" w:cs="Arial"/>
                <w:color w:val="000000"/>
                <w:sz w:val="18"/>
                <w:szCs w:val="18"/>
              </w:rPr>
            </w:pPr>
            <w:r w:rsidRPr="009A2C81">
              <w:rPr>
                <w:rFonts w:ascii="Arial" w:hAnsi="Arial" w:cs="Arial"/>
                <w:color w:val="000000"/>
                <w:sz w:val="18"/>
                <w:szCs w:val="18"/>
              </w:rPr>
              <w:t>Прочие обязательства</w:t>
            </w:r>
          </w:p>
        </w:tc>
        <w:tc>
          <w:tcPr>
            <w:tcW w:w="892"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1550</w:t>
            </w:r>
          </w:p>
        </w:tc>
        <w:tc>
          <w:tcPr>
            <w:tcW w:w="1418"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275"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276"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83"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0,00%</w:t>
            </w:r>
          </w:p>
        </w:tc>
        <w:tc>
          <w:tcPr>
            <w:tcW w:w="1369" w:type="dxa"/>
            <w:tcBorders>
              <w:top w:val="nil"/>
              <w:left w:val="nil"/>
              <w:bottom w:val="single" w:sz="4" w:space="0" w:color="auto"/>
              <w:right w:val="single" w:sz="4" w:space="0" w:color="auto"/>
            </w:tcBorders>
            <w:shd w:val="clear" w:color="000000" w:fill="F2F2F2"/>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2F2F2"/>
            <w:noWrap/>
            <w:vAlign w:val="center"/>
            <w:hideMark/>
          </w:tcPr>
          <w:p w:rsidR="009A2C81" w:rsidRPr="009A2C81" w:rsidRDefault="009A2C81" w:rsidP="009A2C81">
            <w:pPr>
              <w:jc w:val="center"/>
              <w:rPr>
                <w:rFonts w:ascii="Arial" w:hAnsi="Arial" w:cs="Arial"/>
                <w:color w:val="000000"/>
                <w:sz w:val="18"/>
                <w:szCs w:val="18"/>
              </w:rPr>
            </w:pPr>
            <w:r w:rsidRPr="009A2C81">
              <w:rPr>
                <w:rFonts w:ascii="Arial" w:hAnsi="Arial" w:cs="Arial"/>
                <w:color w:val="000000"/>
                <w:sz w:val="18"/>
                <w:szCs w:val="18"/>
              </w:rPr>
              <w:t>-</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auto" w:fill="auto"/>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Итого по разделу V</w:t>
            </w:r>
          </w:p>
        </w:tc>
        <w:tc>
          <w:tcPr>
            <w:tcW w:w="892"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1500</w:t>
            </w:r>
          </w:p>
        </w:tc>
        <w:tc>
          <w:tcPr>
            <w:tcW w:w="1418"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5 229 990</w:t>
            </w:r>
          </w:p>
        </w:tc>
        <w:tc>
          <w:tcPr>
            <w:tcW w:w="1275"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44,63%</w:t>
            </w:r>
          </w:p>
        </w:tc>
        <w:tc>
          <w:tcPr>
            <w:tcW w:w="1276"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3 528 032</w:t>
            </w:r>
          </w:p>
        </w:tc>
        <w:tc>
          <w:tcPr>
            <w:tcW w:w="1183"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46,68%</w:t>
            </w:r>
          </w:p>
        </w:tc>
        <w:tc>
          <w:tcPr>
            <w:tcW w:w="1369"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1 701 958</w:t>
            </w:r>
          </w:p>
        </w:tc>
        <w:tc>
          <w:tcPr>
            <w:tcW w:w="1134" w:type="dxa"/>
            <w:tcBorders>
              <w:top w:val="nil"/>
              <w:left w:val="nil"/>
              <w:bottom w:val="single" w:sz="4" w:space="0" w:color="auto"/>
              <w:right w:val="single" w:sz="4" w:space="0" w:color="auto"/>
            </w:tcBorders>
            <w:shd w:val="clear" w:color="auto" w:fill="auto"/>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48,24%</w:t>
            </w:r>
          </w:p>
        </w:tc>
      </w:tr>
      <w:tr w:rsidR="009A2C81" w:rsidRPr="009A2C81" w:rsidTr="00EB3C54">
        <w:trPr>
          <w:trHeight w:val="300"/>
          <w:jc w:val="center"/>
        </w:trPr>
        <w:tc>
          <w:tcPr>
            <w:tcW w:w="2080" w:type="dxa"/>
            <w:tcBorders>
              <w:top w:val="nil"/>
              <w:left w:val="single" w:sz="4" w:space="0" w:color="auto"/>
              <w:bottom w:val="single" w:sz="4" w:space="0" w:color="auto"/>
              <w:right w:val="single" w:sz="4" w:space="0" w:color="auto"/>
            </w:tcBorders>
            <w:shd w:val="clear" w:color="000000" w:fill="BFBFBF"/>
            <w:vAlign w:val="center"/>
            <w:hideMark/>
          </w:tcPr>
          <w:p w:rsidR="009A2C81" w:rsidRPr="009A2C81" w:rsidRDefault="009A2C81" w:rsidP="009A2C81">
            <w:pPr>
              <w:rPr>
                <w:rFonts w:ascii="Arial" w:hAnsi="Arial" w:cs="Arial"/>
                <w:b/>
                <w:bCs/>
                <w:color w:val="000000"/>
                <w:sz w:val="18"/>
                <w:szCs w:val="18"/>
              </w:rPr>
            </w:pPr>
            <w:r w:rsidRPr="009A2C81">
              <w:rPr>
                <w:rFonts w:ascii="Arial" w:hAnsi="Arial" w:cs="Arial"/>
                <w:b/>
                <w:bCs/>
                <w:color w:val="000000"/>
                <w:sz w:val="18"/>
                <w:szCs w:val="18"/>
              </w:rPr>
              <w:t>БАЛАНС</w:t>
            </w:r>
          </w:p>
        </w:tc>
        <w:tc>
          <w:tcPr>
            <w:tcW w:w="892"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1700</w:t>
            </w:r>
          </w:p>
        </w:tc>
        <w:tc>
          <w:tcPr>
            <w:tcW w:w="1418"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11 718 539</w:t>
            </w:r>
          </w:p>
        </w:tc>
        <w:tc>
          <w:tcPr>
            <w:tcW w:w="1275"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100,00%</w:t>
            </w:r>
          </w:p>
        </w:tc>
        <w:tc>
          <w:tcPr>
            <w:tcW w:w="1276"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7 558 141</w:t>
            </w:r>
          </w:p>
        </w:tc>
        <w:tc>
          <w:tcPr>
            <w:tcW w:w="1183"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100,00%</w:t>
            </w:r>
          </w:p>
        </w:tc>
        <w:tc>
          <w:tcPr>
            <w:tcW w:w="1369"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4 160 398</w:t>
            </w:r>
          </w:p>
        </w:tc>
        <w:tc>
          <w:tcPr>
            <w:tcW w:w="1134" w:type="dxa"/>
            <w:tcBorders>
              <w:top w:val="nil"/>
              <w:left w:val="nil"/>
              <w:bottom w:val="single" w:sz="4" w:space="0" w:color="auto"/>
              <w:right w:val="single" w:sz="4" w:space="0" w:color="auto"/>
            </w:tcBorders>
            <w:shd w:val="clear" w:color="000000" w:fill="BFBFBF"/>
            <w:noWrap/>
            <w:vAlign w:val="center"/>
            <w:hideMark/>
          </w:tcPr>
          <w:p w:rsidR="009A2C81" w:rsidRPr="009A2C81" w:rsidRDefault="009A2C81" w:rsidP="009A2C81">
            <w:pPr>
              <w:jc w:val="center"/>
              <w:rPr>
                <w:rFonts w:ascii="Arial" w:hAnsi="Arial" w:cs="Arial"/>
                <w:b/>
                <w:bCs/>
                <w:color w:val="000000"/>
                <w:sz w:val="18"/>
                <w:szCs w:val="18"/>
              </w:rPr>
            </w:pPr>
            <w:r w:rsidRPr="009A2C81">
              <w:rPr>
                <w:rFonts w:ascii="Arial" w:hAnsi="Arial" w:cs="Arial"/>
                <w:b/>
                <w:bCs/>
                <w:color w:val="000000"/>
                <w:sz w:val="18"/>
                <w:szCs w:val="18"/>
              </w:rPr>
              <w:t>55,05%</w:t>
            </w:r>
          </w:p>
        </w:tc>
      </w:tr>
    </w:tbl>
    <w:p w:rsidR="00E226E0" w:rsidRPr="00015863" w:rsidRDefault="00E226E0" w:rsidP="00E226E0">
      <w:pPr>
        <w:pStyle w:val="a5"/>
        <w:spacing w:before="120" w:after="120"/>
        <w:ind w:firstLine="709"/>
        <w:rPr>
          <w:rFonts w:ascii="Arial" w:hAnsi="Arial" w:cs="Arial"/>
          <w:szCs w:val="22"/>
        </w:rPr>
      </w:pPr>
      <w:bookmarkStart w:id="31" w:name="_Toc415487678"/>
      <w:r w:rsidRPr="00015863">
        <w:rPr>
          <w:rFonts w:ascii="Arial" w:hAnsi="Arial" w:cs="Arial"/>
          <w:szCs w:val="22"/>
        </w:rPr>
        <w:t>В структуре пассивов предприятия произошли следующие изменения:</w:t>
      </w:r>
    </w:p>
    <w:p w:rsidR="00E226E0" w:rsidRPr="00015863" w:rsidRDefault="00E226E0" w:rsidP="00E226E0">
      <w:pPr>
        <w:pStyle w:val="a5"/>
        <w:spacing w:before="120" w:after="120"/>
        <w:ind w:firstLine="709"/>
        <w:rPr>
          <w:rFonts w:ascii="Arial" w:hAnsi="Arial" w:cs="Arial"/>
          <w:szCs w:val="22"/>
        </w:rPr>
      </w:pPr>
      <w:r w:rsidRPr="00015863">
        <w:rPr>
          <w:rFonts w:ascii="Arial" w:hAnsi="Arial" w:cs="Arial"/>
          <w:szCs w:val="22"/>
        </w:rPr>
        <w:t xml:space="preserve">Собственный капитал </w:t>
      </w:r>
      <w:r w:rsidR="00184707">
        <w:rPr>
          <w:rFonts w:ascii="Arial" w:hAnsi="Arial" w:cs="Arial"/>
          <w:szCs w:val="22"/>
        </w:rPr>
        <w:t>увеличился</w:t>
      </w:r>
      <w:r w:rsidRPr="00015863">
        <w:rPr>
          <w:rFonts w:ascii="Arial" w:hAnsi="Arial" w:cs="Arial"/>
          <w:szCs w:val="22"/>
        </w:rPr>
        <w:t xml:space="preserve"> на </w:t>
      </w:r>
      <w:r w:rsidR="00184707">
        <w:rPr>
          <w:rFonts w:ascii="Arial" w:hAnsi="Arial" w:cs="Arial"/>
          <w:szCs w:val="22"/>
        </w:rPr>
        <w:t>1 343</w:t>
      </w:r>
      <w:r w:rsidRPr="00015863">
        <w:rPr>
          <w:rFonts w:ascii="Arial" w:hAnsi="Arial" w:cs="Arial"/>
          <w:szCs w:val="22"/>
        </w:rPr>
        <w:t> </w:t>
      </w:r>
      <w:r w:rsidR="00184707">
        <w:rPr>
          <w:rFonts w:ascii="Arial" w:hAnsi="Arial" w:cs="Arial"/>
          <w:szCs w:val="22"/>
        </w:rPr>
        <w:t>527</w:t>
      </w:r>
      <w:r w:rsidRPr="00015863">
        <w:rPr>
          <w:rFonts w:ascii="Arial" w:hAnsi="Arial" w:cs="Arial"/>
          <w:szCs w:val="22"/>
        </w:rPr>
        <w:t xml:space="preserve"> тыс. руб. (</w:t>
      </w:r>
      <w:r w:rsidR="00184707">
        <w:rPr>
          <w:rFonts w:ascii="Arial" w:hAnsi="Arial" w:cs="Arial"/>
          <w:szCs w:val="22"/>
        </w:rPr>
        <w:t>на 39</w:t>
      </w:r>
      <w:r w:rsidRPr="00015863">
        <w:rPr>
          <w:rFonts w:ascii="Arial" w:hAnsi="Arial" w:cs="Arial"/>
          <w:szCs w:val="22"/>
        </w:rPr>
        <w:t>,</w:t>
      </w:r>
      <w:r w:rsidR="00184707">
        <w:rPr>
          <w:rFonts w:ascii="Arial" w:hAnsi="Arial" w:cs="Arial"/>
          <w:szCs w:val="22"/>
        </w:rPr>
        <w:t>67</w:t>
      </w:r>
      <w:r w:rsidRPr="00015863">
        <w:rPr>
          <w:rFonts w:ascii="Arial" w:hAnsi="Arial" w:cs="Arial"/>
          <w:szCs w:val="22"/>
        </w:rPr>
        <w:t xml:space="preserve">%), что связано с </w:t>
      </w:r>
      <w:r w:rsidR="00184707">
        <w:rPr>
          <w:rFonts w:ascii="Arial" w:hAnsi="Arial" w:cs="Arial"/>
          <w:szCs w:val="22"/>
        </w:rPr>
        <w:t>ростом</w:t>
      </w:r>
      <w:r w:rsidR="000B58AB">
        <w:rPr>
          <w:rFonts w:ascii="Arial" w:hAnsi="Arial" w:cs="Arial"/>
          <w:szCs w:val="22"/>
        </w:rPr>
        <w:t xml:space="preserve"> </w:t>
      </w:r>
      <w:r w:rsidRPr="00015863">
        <w:rPr>
          <w:rFonts w:ascii="Arial" w:hAnsi="Arial" w:cs="Arial"/>
          <w:szCs w:val="22"/>
        </w:rPr>
        <w:t>нераспределенной прибыл</w:t>
      </w:r>
      <w:r w:rsidR="00184707">
        <w:rPr>
          <w:rFonts w:ascii="Arial" w:hAnsi="Arial" w:cs="Arial"/>
          <w:szCs w:val="22"/>
        </w:rPr>
        <w:t>и</w:t>
      </w:r>
      <w:r w:rsidRPr="00015863">
        <w:rPr>
          <w:rFonts w:ascii="Arial" w:hAnsi="Arial" w:cs="Arial"/>
          <w:szCs w:val="22"/>
        </w:rPr>
        <w:t>.</w:t>
      </w:r>
    </w:p>
    <w:p w:rsidR="00E727EE" w:rsidRPr="0001515B" w:rsidRDefault="00E226E0" w:rsidP="00E226E0">
      <w:pPr>
        <w:pStyle w:val="a5"/>
        <w:spacing w:before="120" w:after="120"/>
        <w:ind w:firstLine="709"/>
        <w:rPr>
          <w:rFonts w:ascii="Arial" w:hAnsi="Arial" w:cs="Arial"/>
          <w:szCs w:val="22"/>
        </w:rPr>
      </w:pPr>
      <w:r w:rsidRPr="0001515B">
        <w:rPr>
          <w:rFonts w:ascii="Arial" w:hAnsi="Arial" w:cs="Arial"/>
          <w:szCs w:val="22"/>
        </w:rPr>
        <w:t xml:space="preserve">Долгосрочные обязательства </w:t>
      </w:r>
      <w:r w:rsidR="00184707" w:rsidRPr="0001515B">
        <w:rPr>
          <w:rFonts w:ascii="Arial" w:hAnsi="Arial" w:cs="Arial"/>
          <w:szCs w:val="22"/>
        </w:rPr>
        <w:t xml:space="preserve">увеличились </w:t>
      </w:r>
      <w:r w:rsidRPr="0001515B">
        <w:rPr>
          <w:rFonts w:ascii="Arial" w:hAnsi="Arial" w:cs="Arial"/>
          <w:szCs w:val="22"/>
        </w:rPr>
        <w:t xml:space="preserve">на </w:t>
      </w:r>
      <w:r w:rsidR="00184707" w:rsidRPr="0001515B">
        <w:rPr>
          <w:rFonts w:ascii="Arial" w:hAnsi="Arial" w:cs="Arial"/>
          <w:szCs w:val="22"/>
        </w:rPr>
        <w:t>1 114</w:t>
      </w:r>
      <w:r w:rsidRPr="0001515B">
        <w:rPr>
          <w:rFonts w:ascii="Arial" w:hAnsi="Arial" w:cs="Arial"/>
          <w:szCs w:val="22"/>
        </w:rPr>
        <w:t> </w:t>
      </w:r>
      <w:r w:rsidR="00184707" w:rsidRPr="0001515B">
        <w:rPr>
          <w:rFonts w:ascii="Arial" w:hAnsi="Arial" w:cs="Arial"/>
          <w:szCs w:val="22"/>
        </w:rPr>
        <w:t>913</w:t>
      </w:r>
      <w:r w:rsidRPr="0001515B">
        <w:rPr>
          <w:rFonts w:ascii="Arial" w:hAnsi="Arial" w:cs="Arial"/>
          <w:szCs w:val="22"/>
        </w:rPr>
        <w:t xml:space="preserve"> тыс. руб. (</w:t>
      </w:r>
      <w:r w:rsidR="00184707" w:rsidRPr="0001515B">
        <w:rPr>
          <w:rFonts w:ascii="Arial" w:hAnsi="Arial" w:cs="Arial"/>
          <w:szCs w:val="22"/>
        </w:rPr>
        <w:t>на 173</w:t>
      </w:r>
      <w:r w:rsidRPr="0001515B">
        <w:rPr>
          <w:rFonts w:ascii="Arial" w:hAnsi="Arial" w:cs="Arial"/>
          <w:szCs w:val="22"/>
        </w:rPr>
        <w:t>,</w:t>
      </w:r>
      <w:r w:rsidR="00184707" w:rsidRPr="0001515B">
        <w:rPr>
          <w:rFonts w:ascii="Arial" w:hAnsi="Arial" w:cs="Arial"/>
          <w:szCs w:val="22"/>
        </w:rPr>
        <w:t>21</w:t>
      </w:r>
      <w:r w:rsidRPr="0001515B">
        <w:rPr>
          <w:rFonts w:ascii="Arial" w:hAnsi="Arial" w:cs="Arial"/>
          <w:szCs w:val="22"/>
        </w:rPr>
        <w:t>%)</w:t>
      </w:r>
      <w:r w:rsidR="003C010F" w:rsidRPr="0001515B">
        <w:rPr>
          <w:rFonts w:ascii="Arial" w:hAnsi="Arial" w:cs="Arial"/>
          <w:szCs w:val="22"/>
        </w:rPr>
        <w:t>,</w:t>
      </w:r>
      <w:r w:rsidR="00E727EE" w:rsidRPr="0001515B">
        <w:rPr>
          <w:rFonts w:ascii="Arial" w:hAnsi="Arial" w:cs="Arial"/>
          <w:szCs w:val="22"/>
        </w:rPr>
        <w:t xml:space="preserve"> что связано с </w:t>
      </w:r>
      <w:r w:rsidR="00184707" w:rsidRPr="0001515B">
        <w:rPr>
          <w:rFonts w:ascii="Arial" w:hAnsi="Arial" w:cs="Arial"/>
          <w:szCs w:val="22"/>
        </w:rPr>
        <w:t>ростом</w:t>
      </w:r>
      <w:r w:rsidR="000B58AB" w:rsidRPr="0001515B">
        <w:rPr>
          <w:rFonts w:ascii="Arial" w:hAnsi="Arial" w:cs="Arial"/>
          <w:szCs w:val="22"/>
        </w:rPr>
        <w:t xml:space="preserve"> размера кредитного портфеля</w:t>
      </w:r>
      <w:r w:rsidR="00184707" w:rsidRPr="0001515B">
        <w:rPr>
          <w:rFonts w:ascii="Arial" w:hAnsi="Arial" w:cs="Arial"/>
          <w:szCs w:val="22"/>
        </w:rPr>
        <w:t xml:space="preserve"> и изменением его структуры с увеличением доли задолженности по </w:t>
      </w:r>
      <w:r w:rsidR="00B02EBD" w:rsidRPr="0001515B">
        <w:rPr>
          <w:rFonts w:ascii="Arial" w:hAnsi="Arial" w:cs="Arial"/>
          <w:szCs w:val="22"/>
        </w:rPr>
        <w:t>долгосрочным.</w:t>
      </w:r>
      <w:r w:rsidR="00316CE0" w:rsidRPr="0001515B">
        <w:rPr>
          <w:rFonts w:ascii="Arial" w:hAnsi="Arial" w:cs="Arial"/>
          <w:szCs w:val="22"/>
        </w:rPr>
        <w:t xml:space="preserve"> В 2021 году размер </w:t>
      </w:r>
      <w:r w:rsidR="00316CE0" w:rsidRPr="0001515B">
        <w:rPr>
          <w:rFonts w:ascii="Arial" w:hAnsi="Arial" w:cs="Arial"/>
          <w:szCs w:val="22"/>
        </w:rPr>
        <w:lastRenderedPageBreak/>
        <w:t xml:space="preserve">задолженности по долгосрочным кредитам составил 1 505 135 тыс. руб. (против 362 729 тыс. руб. в 2020 году). </w:t>
      </w:r>
    </w:p>
    <w:p w:rsidR="00E727EE" w:rsidRDefault="003C010F" w:rsidP="00E226E0">
      <w:pPr>
        <w:pStyle w:val="a5"/>
        <w:spacing w:before="120" w:after="120"/>
        <w:ind w:firstLine="709"/>
        <w:rPr>
          <w:rFonts w:ascii="Arial" w:hAnsi="Arial" w:cs="Arial"/>
          <w:szCs w:val="22"/>
        </w:rPr>
      </w:pPr>
      <w:r w:rsidRPr="0001515B">
        <w:rPr>
          <w:rFonts w:ascii="Arial" w:hAnsi="Arial" w:cs="Arial"/>
          <w:szCs w:val="22"/>
        </w:rPr>
        <w:t xml:space="preserve">Краткосрочные обязательства </w:t>
      </w:r>
      <w:r w:rsidR="00184707" w:rsidRPr="0001515B">
        <w:rPr>
          <w:rFonts w:ascii="Arial" w:hAnsi="Arial" w:cs="Arial"/>
          <w:szCs w:val="22"/>
        </w:rPr>
        <w:t>увеличились</w:t>
      </w:r>
      <w:r w:rsidRPr="0001515B">
        <w:rPr>
          <w:rFonts w:ascii="Arial" w:hAnsi="Arial" w:cs="Arial"/>
          <w:szCs w:val="22"/>
        </w:rPr>
        <w:t xml:space="preserve"> на </w:t>
      </w:r>
      <w:r w:rsidR="000B58AB" w:rsidRPr="0001515B">
        <w:rPr>
          <w:rFonts w:ascii="Arial" w:hAnsi="Arial" w:cs="Arial"/>
          <w:szCs w:val="22"/>
        </w:rPr>
        <w:t>1 </w:t>
      </w:r>
      <w:r w:rsidR="00184707" w:rsidRPr="0001515B">
        <w:rPr>
          <w:rFonts w:ascii="Arial" w:hAnsi="Arial" w:cs="Arial"/>
          <w:szCs w:val="22"/>
        </w:rPr>
        <w:t>701</w:t>
      </w:r>
      <w:r w:rsidR="000B58AB" w:rsidRPr="0001515B">
        <w:rPr>
          <w:rFonts w:ascii="Arial" w:hAnsi="Arial" w:cs="Arial"/>
          <w:szCs w:val="22"/>
        </w:rPr>
        <w:t xml:space="preserve"> </w:t>
      </w:r>
      <w:r w:rsidR="00184707" w:rsidRPr="0001515B">
        <w:rPr>
          <w:rFonts w:ascii="Arial" w:hAnsi="Arial" w:cs="Arial"/>
          <w:szCs w:val="22"/>
        </w:rPr>
        <w:t>958</w:t>
      </w:r>
      <w:r w:rsidRPr="0001515B">
        <w:rPr>
          <w:rFonts w:ascii="Arial" w:hAnsi="Arial" w:cs="Arial"/>
          <w:szCs w:val="22"/>
        </w:rPr>
        <w:t xml:space="preserve"> тыс. руб. (</w:t>
      </w:r>
      <w:r w:rsidR="00184707" w:rsidRPr="0001515B">
        <w:rPr>
          <w:rFonts w:ascii="Arial" w:hAnsi="Arial" w:cs="Arial"/>
          <w:szCs w:val="22"/>
        </w:rPr>
        <w:t>на 48</w:t>
      </w:r>
      <w:r w:rsidRPr="0001515B">
        <w:rPr>
          <w:rFonts w:ascii="Arial" w:hAnsi="Arial" w:cs="Arial"/>
          <w:szCs w:val="22"/>
        </w:rPr>
        <w:t>,</w:t>
      </w:r>
      <w:r w:rsidR="00184707" w:rsidRPr="0001515B">
        <w:rPr>
          <w:rFonts w:ascii="Arial" w:hAnsi="Arial" w:cs="Arial"/>
          <w:szCs w:val="22"/>
        </w:rPr>
        <w:t>24</w:t>
      </w:r>
      <w:r w:rsidRPr="0001515B">
        <w:rPr>
          <w:rFonts w:ascii="Arial" w:hAnsi="Arial" w:cs="Arial"/>
          <w:szCs w:val="22"/>
        </w:rPr>
        <w:t xml:space="preserve">%). Динамика обусловлена </w:t>
      </w:r>
      <w:r w:rsidR="00184707" w:rsidRPr="0001515B">
        <w:rPr>
          <w:rFonts w:ascii="Arial" w:hAnsi="Arial" w:cs="Arial"/>
          <w:szCs w:val="22"/>
        </w:rPr>
        <w:t xml:space="preserve">ростом </w:t>
      </w:r>
      <w:r w:rsidR="000B58AB" w:rsidRPr="0001515B">
        <w:rPr>
          <w:rFonts w:ascii="Arial" w:hAnsi="Arial" w:cs="Arial"/>
          <w:szCs w:val="22"/>
        </w:rPr>
        <w:t>размера кредитного портфеля</w:t>
      </w:r>
      <w:r w:rsidR="00D73D9A" w:rsidRPr="0001515B">
        <w:rPr>
          <w:rFonts w:ascii="Arial" w:hAnsi="Arial" w:cs="Arial"/>
          <w:szCs w:val="22"/>
        </w:rPr>
        <w:t xml:space="preserve">, а также </w:t>
      </w:r>
      <w:r w:rsidR="00B02EBD" w:rsidRPr="0001515B">
        <w:rPr>
          <w:rFonts w:ascii="Arial" w:hAnsi="Arial" w:cs="Arial"/>
          <w:szCs w:val="22"/>
        </w:rPr>
        <w:t>ростом</w:t>
      </w:r>
      <w:r w:rsidR="00E727EE" w:rsidRPr="0001515B">
        <w:rPr>
          <w:rFonts w:ascii="Arial" w:hAnsi="Arial" w:cs="Arial"/>
          <w:szCs w:val="22"/>
        </w:rPr>
        <w:t xml:space="preserve"> </w:t>
      </w:r>
      <w:r w:rsidR="00B02EBD" w:rsidRPr="0001515B">
        <w:rPr>
          <w:rFonts w:ascii="Arial" w:hAnsi="Arial" w:cs="Arial"/>
          <w:szCs w:val="22"/>
        </w:rPr>
        <w:t>кредиторской задолженности.</w:t>
      </w:r>
      <w:r w:rsidR="00316CE0" w:rsidRPr="0001515B">
        <w:rPr>
          <w:rFonts w:ascii="Arial" w:hAnsi="Arial" w:cs="Arial"/>
          <w:szCs w:val="22"/>
        </w:rPr>
        <w:t xml:space="preserve"> В 2021 году задолженность по краткосрочным кредитам составила 1 890 556 тыс. руб. (против 1 468 007 тыс. руб. в 2020 году. Кредиторская задолженность в 2021 году составила 3 234 506 тыс. руб.</w:t>
      </w:r>
    </w:p>
    <w:p w:rsidR="00E226E0" w:rsidRPr="00FC3D82" w:rsidRDefault="00E226E0" w:rsidP="00E226E0">
      <w:pPr>
        <w:pStyle w:val="a5"/>
        <w:spacing w:before="120" w:after="120"/>
        <w:ind w:firstLine="709"/>
        <w:rPr>
          <w:rFonts w:ascii="Arial" w:hAnsi="Arial" w:cs="Arial"/>
          <w:szCs w:val="22"/>
        </w:rPr>
      </w:pPr>
      <w:r w:rsidRPr="003C2864">
        <w:rPr>
          <w:rFonts w:ascii="Arial" w:hAnsi="Arial" w:cs="Arial"/>
          <w:szCs w:val="22"/>
        </w:rPr>
        <w:t xml:space="preserve">Основные финансовые коэффициенты работы предприятия по итогам работы </w:t>
      </w:r>
      <w:r w:rsidRPr="00FC3D82">
        <w:rPr>
          <w:rFonts w:ascii="Arial" w:hAnsi="Arial" w:cs="Arial"/>
          <w:szCs w:val="22"/>
        </w:rPr>
        <w:t>в 20</w:t>
      </w:r>
      <w:r w:rsidR="00204CC5" w:rsidRPr="00FC3D82">
        <w:rPr>
          <w:rFonts w:ascii="Arial" w:hAnsi="Arial" w:cs="Arial"/>
          <w:szCs w:val="22"/>
        </w:rPr>
        <w:t>2</w:t>
      </w:r>
      <w:r w:rsidR="00E46BF4" w:rsidRPr="00FC3D82">
        <w:rPr>
          <w:rFonts w:ascii="Arial" w:hAnsi="Arial" w:cs="Arial"/>
          <w:szCs w:val="22"/>
        </w:rPr>
        <w:t>1</w:t>
      </w:r>
      <w:r w:rsidRPr="00FC3D82">
        <w:rPr>
          <w:rFonts w:ascii="Arial" w:hAnsi="Arial" w:cs="Arial"/>
          <w:szCs w:val="22"/>
        </w:rPr>
        <w:t xml:space="preserve"> году выглядят следующим образом.</w:t>
      </w:r>
    </w:p>
    <w:p w:rsidR="00805211" w:rsidRPr="00FC3D82" w:rsidRDefault="00805211" w:rsidP="00EB3C54">
      <w:pPr>
        <w:tabs>
          <w:tab w:val="num" w:pos="1320"/>
        </w:tabs>
        <w:spacing w:before="120" w:after="120"/>
        <w:ind w:firstLine="709"/>
        <w:jc w:val="both"/>
        <w:rPr>
          <w:rFonts w:ascii="Arial" w:hAnsi="Arial" w:cs="Arial"/>
        </w:rPr>
      </w:pPr>
      <w:r w:rsidRPr="00FC3D82">
        <w:rPr>
          <w:rFonts w:ascii="Arial" w:hAnsi="Arial" w:cs="Arial"/>
        </w:rPr>
        <w:t xml:space="preserve">1. </w:t>
      </w:r>
      <w:r w:rsidR="00E226E0" w:rsidRPr="00FC3D82">
        <w:rPr>
          <w:rFonts w:ascii="Arial" w:hAnsi="Arial" w:cs="Arial"/>
          <w:b/>
        </w:rPr>
        <w:t>Рентабельность продаж</w:t>
      </w:r>
      <w:r w:rsidR="00E226E0" w:rsidRPr="00FC3D82">
        <w:rPr>
          <w:rFonts w:ascii="Arial" w:hAnsi="Arial" w:cs="Arial"/>
        </w:rPr>
        <w:t xml:space="preserve"> за 20</w:t>
      </w:r>
      <w:r w:rsidR="000B58AB" w:rsidRPr="00FC3D82">
        <w:rPr>
          <w:rFonts w:ascii="Arial" w:hAnsi="Arial" w:cs="Arial"/>
        </w:rPr>
        <w:t>2</w:t>
      </w:r>
      <w:r w:rsidR="00B64D08" w:rsidRPr="00FC3D82">
        <w:rPr>
          <w:rFonts w:ascii="Arial" w:hAnsi="Arial" w:cs="Arial"/>
        </w:rPr>
        <w:t>1</w:t>
      </w:r>
      <w:r w:rsidR="00E226E0" w:rsidRPr="00FC3D82">
        <w:rPr>
          <w:rFonts w:ascii="Arial" w:hAnsi="Arial" w:cs="Arial"/>
        </w:rPr>
        <w:t xml:space="preserve"> год составила </w:t>
      </w:r>
      <w:r w:rsidR="00B64D08" w:rsidRPr="00FC3D82">
        <w:rPr>
          <w:rFonts w:ascii="Arial" w:hAnsi="Arial" w:cs="Arial"/>
          <w:b/>
        </w:rPr>
        <w:t>7</w:t>
      </w:r>
      <w:r w:rsidR="00E226E0" w:rsidRPr="00FC3D82">
        <w:rPr>
          <w:rFonts w:ascii="Arial" w:hAnsi="Arial" w:cs="Arial"/>
          <w:b/>
        </w:rPr>
        <w:t>,</w:t>
      </w:r>
      <w:r w:rsidR="00B64D08" w:rsidRPr="00FC3D82">
        <w:rPr>
          <w:rFonts w:ascii="Arial" w:hAnsi="Arial" w:cs="Arial"/>
          <w:b/>
        </w:rPr>
        <w:t>56</w:t>
      </w:r>
      <w:r w:rsidR="00E226E0" w:rsidRPr="00FC3D82">
        <w:rPr>
          <w:rFonts w:ascii="Arial" w:hAnsi="Arial" w:cs="Arial"/>
          <w:b/>
        </w:rPr>
        <w:t>%</w:t>
      </w:r>
      <w:r w:rsidR="00E226E0" w:rsidRPr="00FC3D82">
        <w:rPr>
          <w:rFonts w:ascii="Arial" w:hAnsi="Arial" w:cs="Arial"/>
        </w:rPr>
        <w:t xml:space="preserve">, что на </w:t>
      </w:r>
      <w:r w:rsidR="0001515B" w:rsidRPr="00FC3D82">
        <w:rPr>
          <w:rFonts w:ascii="Arial" w:hAnsi="Arial" w:cs="Arial"/>
        </w:rPr>
        <w:t>5</w:t>
      </w:r>
      <w:r w:rsidR="00714564" w:rsidRPr="00FC3D82">
        <w:rPr>
          <w:rFonts w:ascii="Arial" w:hAnsi="Arial" w:cs="Arial"/>
        </w:rPr>
        <w:t>,</w:t>
      </w:r>
      <w:r w:rsidR="00B64D08" w:rsidRPr="00FC3D82">
        <w:rPr>
          <w:rFonts w:ascii="Arial" w:hAnsi="Arial" w:cs="Arial"/>
        </w:rPr>
        <w:t>14</w:t>
      </w:r>
      <w:r w:rsidR="00E226E0" w:rsidRPr="00FC3D82">
        <w:rPr>
          <w:rFonts w:ascii="Arial" w:hAnsi="Arial" w:cs="Arial"/>
        </w:rPr>
        <w:t xml:space="preserve">% </w:t>
      </w:r>
      <w:r w:rsidR="00B64D08" w:rsidRPr="00FC3D82">
        <w:rPr>
          <w:rFonts w:ascii="Arial" w:hAnsi="Arial" w:cs="Arial"/>
        </w:rPr>
        <w:t>выше</w:t>
      </w:r>
      <w:r w:rsidR="00E226E0" w:rsidRPr="00FC3D82">
        <w:rPr>
          <w:rFonts w:ascii="Arial" w:hAnsi="Arial" w:cs="Arial"/>
        </w:rPr>
        <w:t xml:space="preserve"> анал</w:t>
      </w:r>
      <w:r w:rsidR="00F858AD" w:rsidRPr="00FC3D82">
        <w:rPr>
          <w:rFonts w:ascii="Arial" w:hAnsi="Arial" w:cs="Arial"/>
        </w:rPr>
        <w:t>огичного показателя за 20</w:t>
      </w:r>
      <w:r w:rsidR="00B64D08" w:rsidRPr="00FC3D82">
        <w:rPr>
          <w:rFonts w:ascii="Arial" w:hAnsi="Arial" w:cs="Arial"/>
        </w:rPr>
        <w:t>20</w:t>
      </w:r>
      <w:r w:rsidR="00F858AD" w:rsidRPr="00FC3D82">
        <w:rPr>
          <w:rFonts w:ascii="Arial" w:hAnsi="Arial" w:cs="Arial"/>
        </w:rPr>
        <w:t xml:space="preserve"> год</w:t>
      </w:r>
      <w:r w:rsidR="00E226E0" w:rsidRPr="00FC3D82">
        <w:rPr>
          <w:rFonts w:ascii="Arial" w:hAnsi="Arial" w:cs="Arial"/>
        </w:rPr>
        <w:t xml:space="preserve"> </w:t>
      </w:r>
      <w:r w:rsidR="00F858AD" w:rsidRPr="00FC3D82">
        <w:rPr>
          <w:rFonts w:ascii="Arial" w:hAnsi="Arial" w:cs="Arial"/>
        </w:rPr>
        <w:t>и</w:t>
      </w:r>
      <w:r w:rsidR="00E226E0" w:rsidRPr="00FC3D82">
        <w:rPr>
          <w:rFonts w:ascii="Arial" w:hAnsi="Arial" w:cs="Arial"/>
        </w:rPr>
        <w:t xml:space="preserve"> обусловлено </w:t>
      </w:r>
      <w:r w:rsidR="00B64D08" w:rsidRPr="00FC3D82">
        <w:rPr>
          <w:rFonts w:ascii="Arial" w:hAnsi="Arial" w:cs="Arial"/>
        </w:rPr>
        <w:t>ростом</w:t>
      </w:r>
      <w:r w:rsidR="00E226E0" w:rsidRPr="00FC3D82">
        <w:rPr>
          <w:rFonts w:ascii="Arial" w:hAnsi="Arial" w:cs="Arial"/>
        </w:rPr>
        <w:t xml:space="preserve"> прибыли от</w:t>
      </w:r>
      <w:r w:rsidR="00B64D08" w:rsidRPr="00FC3D82">
        <w:rPr>
          <w:rFonts w:ascii="Arial" w:hAnsi="Arial" w:cs="Arial"/>
        </w:rPr>
        <w:t xml:space="preserve"> продаж</w:t>
      </w:r>
      <w:r w:rsidR="00DD3B61" w:rsidRPr="00FC3D82">
        <w:rPr>
          <w:rFonts w:ascii="Arial" w:hAnsi="Arial" w:cs="Arial"/>
        </w:rPr>
        <w:t xml:space="preserve">, а </w:t>
      </w:r>
      <w:r w:rsidR="00EB3C54" w:rsidRPr="00FC3D82">
        <w:rPr>
          <w:rFonts w:ascii="Arial" w:hAnsi="Arial" w:cs="Arial"/>
        </w:rPr>
        <w:t>т</w:t>
      </w:r>
      <w:r w:rsidR="00DD3B61" w:rsidRPr="00FC3D82">
        <w:rPr>
          <w:rFonts w:ascii="Arial" w:hAnsi="Arial" w:cs="Arial"/>
        </w:rPr>
        <w:t>акже снижением ко</w:t>
      </w:r>
      <w:r w:rsidR="00EB3C54" w:rsidRPr="00FC3D82">
        <w:rPr>
          <w:rFonts w:ascii="Arial" w:hAnsi="Arial" w:cs="Arial"/>
        </w:rPr>
        <w:t>ммерческих расходов в 2021 году в результате снижения объемов отгрузок на экспорт.</w:t>
      </w:r>
      <w:r w:rsidR="00B2566C" w:rsidRPr="00FC3D82">
        <w:rPr>
          <w:rFonts w:ascii="Arial" w:hAnsi="Arial" w:cs="Arial"/>
        </w:rPr>
        <w:t xml:space="preserve"> </w:t>
      </w:r>
    </w:p>
    <w:p w:rsidR="00773258" w:rsidRPr="00FC3D82" w:rsidRDefault="00E226E0" w:rsidP="00C44F65">
      <w:pPr>
        <w:tabs>
          <w:tab w:val="num" w:pos="1320"/>
        </w:tabs>
        <w:spacing w:before="120" w:after="120"/>
        <w:ind w:firstLine="709"/>
        <w:jc w:val="both"/>
        <w:rPr>
          <w:rFonts w:ascii="Arial" w:hAnsi="Arial" w:cs="Arial"/>
        </w:rPr>
      </w:pPr>
      <w:r w:rsidRPr="00FC3D82">
        <w:rPr>
          <w:rFonts w:ascii="Arial" w:hAnsi="Arial" w:cs="Arial"/>
        </w:rPr>
        <w:t xml:space="preserve">2.  </w:t>
      </w:r>
      <w:r w:rsidRPr="00FC3D82">
        <w:rPr>
          <w:rFonts w:ascii="Arial" w:hAnsi="Arial" w:cs="Arial"/>
          <w:b/>
        </w:rPr>
        <w:t>Коэффициент оборачиваемости оборотных активов</w:t>
      </w:r>
      <w:r w:rsidRPr="00FC3D82">
        <w:rPr>
          <w:rFonts w:ascii="Arial" w:hAnsi="Arial" w:cs="Arial"/>
        </w:rPr>
        <w:t xml:space="preserve"> в 20</w:t>
      </w:r>
      <w:r w:rsidR="000B58AB" w:rsidRPr="00FC3D82">
        <w:rPr>
          <w:rFonts w:ascii="Arial" w:hAnsi="Arial" w:cs="Arial"/>
        </w:rPr>
        <w:t>2</w:t>
      </w:r>
      <w:r w:rsidR="00ED22A7" w:rsidRPr="00FC3D82">
        <w:rPr>
          <w:rFonts w:ascii="Arial" w:hAnsi="Arial" w:cs="Arial"/>
        </w:rPr>
        <w:t>1</w:t>
      </w:r>
      <w:r w:rsidRPr="00FC3D82">
        <w:rPr>
          <w:rFonts w:ascii="Arial" w:hAnsi="Arial" w:cs="Arial"/>
        </w:rPr>
        <w:t xml:space="preserve"> году составил </w:t>
      </w:r>
      <w:r w:rsidR="00ED22A7" w:rsidRPr="00FC3D82">
        <w:rPr>
          <w:rFonts w:ascii="Arial" w:hAnsi="Arial" w:cs="Arial"/>
          <w:b/>
        </w:rPr>
        <w:t>2</w:t>
      </w:r>
      <w:r w:rsidRPr="00FC3D82">
        <w:rPr>
          <w:rFonts w:ascii="Arial" w:hAnsi="Arial" w:cs="Arial"/>
          <w:b/>
        </w:rPr>
        <w:t>,</w:t>
      </w:r>
      <w:r w:rsidR="00ED22A7" w:rsidRPr="00FC3D82">
        <w:rPr>
          <w:rFonts w:ascii="Arial" w:hAnsi="Arial" w:cs="Arial"/>
          <w:b/>
        </w:rPr>
        <w:t>67</w:t>
      </w:r>
      <w:r w:rsidRPr="00FC3D82">
        <w:rPr>
          <w:rFonts w:ascii="Arial" w:hAnsi="Arial" w:cs="Arial"/>
        </w:rPr>
        <w:t xml:space="preserve"> против </w:t>
      </w:r>
      <w:r w:rsidR="00ED22A7" w:rsidRPr="00FC3D82">
        <w:rPr>
          <w:rFonts w:ascii="Arial" w:hAnsi="Arial" w:cs="Arial"/>
          <w:b/>
        </w:rPr>
        <w:t>3</w:t>
      </w:r>
      <w:r w:rsidRPr="00FC3D82">
        <w:rPr>
          <w:rFonts w:ascii="Arial" w:hAnsi="Arial" w:cs="Arial"/>
          <w:b/>
        </w:rPr>
        <w:t>,</w:t>
      </w:r>
      <w:r w:rsidR="00ED22A7" w:rsidRPr="00FC3D82">
        <w:rPr>
          <w:rFonts w:ascii="Arial" w:hAnsi="Arial" w:cs="Arial"/>
          <w:b/>
        </w:rPr>
        <w:t>38</w:t>
      </w:r>
      <w:r w:rsidRPr="00FC3D82">
        <w:rPr>
          <w:rFonts w:ascii="Arial" w:hAnsi="Arial" w:cs="Arial"/>
        </w:rPr>
        <w:t xml:space="preserve"> в 20</w:t>
      </w:r>
      <w:r w:rsidR="00ED22A7" w:rsidRPr="00FC3D82">
        <w:rPr>
          <w:rFonts w:ascii="Arial" w:hAnsi="Arial" w:cs="Arial"/>
        </w:rPr>
        <w:t>20</w:t>
      </w:r>
      <w:r w:rsidRPr="00FC3D82">
        <w:rPr>
          <w:rFonts w:ascii="Arial" w:hAnsi="Arial" w:cs="Arial"/>
        </w:rPr>
        <w:t xml:space="preserve"> году. </w:t>
      </w:r>
      <w:r w:rsidR="00AA3509" w:rsidRPr="00FC3D82">
        <w:rPr>
          <w:rFonts w:ascii="Arial" w:hAnsi="Arial" w:cs="Arial"/>
        </w:rPr>
        <w:t>Динамика данного показателя обусловлена</w:t>
      </w:r>
      <w:r w:rsidR="00773258" w:rsidRPr="00FC3D82">
        <w:rPr>
          <w:rFonts w:ascii="Arial" w:hAnsi="Arial" w:cs="Arial"/>
        </w:rPr>
        <w:t xml:space="preserve"> </w:t>
      </w:r>
      <w:r w:rsidR="00AA3509" w:rsidRPr="00FC3D82">
        <w:rPr>
          <w:rFonts w:ascii="Arial" w:hAnsi="Arial" w:cs="Arial"/>
        </w:rPr>
        <w:t>опережающим ростом оборотных активов над выручкой</w:t>
      </w:r>
      <w:r w:rsidR="000B58AB" w:rsidRPr="00FC3D82">
        <w:rPr>
          <w:rFonts w:ascii="Arial" w:hAnsi="Arial" w:cs="Arial"/>
        </w:rPr>
        <w:t>.</w:t>
      </w:r>
    </w:p>
    <w:p w:rsidR="00773258" w:rsidRPr="00FC3D82" w:rsidRDefault="00773258" w:rsidP="00773258">
      <w:pPr>
        <w:tabs>
          <w:tab w:val="num" w:pos="1320"/>
        </w:tabs>
        <w:spacing w:before="120" w:after="120"/>
        <w:ind w:firstLine="709"/>
        <w:jc w:val="both"/>
        <w:rPr>
          <w:rFonts w:ascii="Arial" w:hAnsi="Arial" w:cs="Arial"/>
        </w:rPr>
      </w:pPr>
      <w:r w:rsidRPr="00FC3D82">
        <w:rPr>
          <w:rFonts w:ascii="Arial" w:hAnsi="Arial" w:cs="Arial"/>
        </w:rPr>
        <w:t xml:space="preserve">3. </w:t>
      </w:r>
      <w:r w:rsidR="00E226E0" w:rsidRPr="00FC3D82">
        <w:rPr>
          <w:rFonts w:ascii="Arial" w:hAnsi="Arial" w:cs="Arial"/>
          <w:b/>
        </w:rPr>
        <w:t>Коэффициент оборачиваемости запасов</w:t>
      </w:r>
      <w:r w:rsidR="00E226E0" w:rsidRPr="00FC3D82">
        <w:rPr>
          <w:rFonts w:ascii="Arial" w:hAnsi="Arial" w:cs="Arial"/>
        </w:rPr>
        <w:t xml:space="preserve"> по итогам 20</w:t>
      </w:r>
      <w:r w:rsidR="000B58AB" w:rsidRPr="00FC3D82">
        <w:rPr>
          <w:rFonts w:ascii="Arial" w:hAnsi="Arial" w:cs="Arial"/>
        </w:rPr>
        <w:t>2</w:t>
      </w:r>
      <w:r w:rsidR="00ED22A7" w:rsidRPr="00FC3D82">
        <w:rPr>
          <w:rFonts w:ascii="Arial" w:hAnsi="Arial" w:cs="Arial"/>
        </w:rPr>
        <w:t>1</w:t>
      </w:r>
      <w:r w:rsidR="00E226E0" w:rsidRPr="00FC3D82">
        <w:rPr>
          <w:rFonts w:ascii="Arial" w:hAnsi="Arial" w:cs="Arial"/>
        </w:rPr>
        <w:t xml:space="preserve"> года составил </w:t>
      </w:r>
      <w:r w:rsidR="00ED22A7" w:rsidRPr="00FC3D82">
        <w:rPr>
          <w:rFonts w:ascii="Arial" w:hAnsi="Arial" w:cs="Arial"/>
          <w:b/>
        </w:rPr>
        <w:t>9</w:t>
      </w:r>
      <w:r w:rsidR="00E226E0" w:rsidRPr="00FC3D82">
        <w:rPr>
          <w:rFonts w:ascii="Arial" w:hAnsi="Arial" w:cs="Arial"/>
          <w:b/>
        </w:rPr>
        <w:t>,</w:t>
      </w:r>
      <w:r w:rsidR="00ED22A7" w:rsidRPr="00FC3D82">
        <w:rPr>
          <w:rFonts w:ascii="Arial" w:hAnsi="Arial" w:cs="Arial"/>
          <w:b/>
        </w:rPr>
        <w:t>28</w:t>
      </w:r>
      <w:r w:rsidR="00E226E0" w:rsidRPr="00FC3D82">
        <w:rPr>
          <w:rFonts w:ascii="Arial" w:hAnsi="Arial" w:cs="Arial"/>
        </w:rPr>
        <w:t xml:space="preserve"> (по сравнению с </w:t>
      </w:r>
      <w:r w:rsidR="00ED22A7" w:rsidRPr="00FC3D82">
        <w:rPr>
          <w:rFonts w:ascii="Arial" w:hAnsi="Arial" w:cs="Arial"/>
          <w:b/>
        </w:rPr>
        <w:t>5</w:t>
      </w:r>
      <w:r w:rsidR="00E64697" w:rsidRPr="00FC3D82">
        <w:rPr>
          <w:rFonts w:ascii="Arial" w:hAnsi="Arial" w:cs="Arial"/>
          <w:b/>
        </w:rPr>
        <w:t>,</w:t>
      </w:r>
      <w:r w:rsidR="00ED22A7" w:rsidRPr="00FC3D82">
        <w:rPr>
          <w:rFonts w:ascii="Arial" w:hAnsi="Arial" w:cs="Arial"/>
          <w:b/>
        </w:rPr>
        <w:t>33</w:t>
      </w:r>
      <w:r w:rsidR="00E226E0" w:rsidRPr="00FC3D82">
        <w:rPr>
          <w:rFonts w:ascii="Arial" w:hAnsi="Arial" w:cs="Arial"/>
          <w:b/>
        </w:rPr>
        <w:t xml:space="preserve"> </w:t>
      </w:r>
      <w:r w:rsidR="00E226E0" w:rsidRPr="00FC3D82">
        <w:rPr>
          <w:rFonts w:ascii="Arial" w:hAnsi="Arial" w:cs="Arial"/>
        </w:rPr>
        <w:t>в 20</w:t>
      </w:r>
      <w:r w:rsidR="00ED22A7" w:rsidRPr="00FC3D82">
        <w:rPr>
          <w:rFonts w:ascii="Arial" w:hAnsi="Arial" w:cs="Arial"/>
        </w:rPr>
        <w:t>20</w:t>
      </w:r>
      <w:r w:rsidR="00E226E0" w:rsidRPr="00FC3D82">
        <w:rPr>
          <w:rFonts w:ascii="Arial" w:hAnsi="Arial" w:cs="Arial"/>
        </w:rPr>
        <w:t xml:space="preserve"> году). </w:t>
      </w:r>
      <w:r w:rsidR="004A7212" w:rsidRPr="00FC3D82">
        <w:rPr>
          <w:rFonts w:ascii="Arial" w:hAnsi="Arial" w:cs="Arial"/>
          <w:b/>
        </w:rPr>
        <w:t>Значение показателя фондоотдачи</w:t>
      </w:r>
      <w:r w:rsidR="004A7212" w:rsidRPr="00FC3D82">
        <w:rPr>
          <w:rFonts w:ascii="Arial" w:hAnsi="Arial" w:cs="Arial"/>
        </w:rPr>
        <w:t xml:space="preserve"> (коэффициента оборачиваемости основных средств) по итогам 20</w:t>
      </w:r>
      <w:r w:rsidR="000B58AB" w:rsidRPr="00FC3D82">
        <w:rPr>
          <w:rFonts w:ascii="Arial" w:hAnsi="Arial" w:cs="Arial"/>
        </w:rPr>
        <w:t>2</w:t>
      </w:r>
      <w:r w:rsidR="00ED22A7" w:rsidRPr="00FC3D82">
        <w:rPr>
          <w:rFonts w:ascii="Arial" w:hAnsi="Arial" w:cs="Arial"/>
        </w:rPr>
        <w:t>1</w:t>
      </w:r>
      <w:r w:rsidR="004A7212" w:rsidRPr="00FC3D82">
        <w:rPr>
          <w:rFonts w:ascii="Arial" w:hAnsi="Arial" w:cs="Arial"/>
        </w:rPr>
        <w:t xml:space="preserve"> года составило </w:t>
      </w:r>
      <w:r w:rsidR="00ED22A7" w:rsidRPr="00FC3D82">
        <w:rPr>
          <w:rFonts w:ascii="Arial" w:hAnsi="Arial" w:cs="Arial"/>
          <w:b/>
        </w:rPr>
        <w:t>8</w:t>
      </w:r>
      <w:r w:rsidR="004A7212" w:rsidRPr="00FC3D82">
        <w:rPr>
          <w:rFonts w:ascii="Arial" w:hAnsi="Arial" w:cs="Arial"/>
          <w:b/>
        </w:rPr>
        <w:t>,</w:t>
      </w:r>
      <w:r w:rsidR="00ED22A7" w:rsidRPr="00FC3D82">
        <w:rPr>
          <w:rFonts w:ascii="Arial" w:hAnsi="Arial" w:cs="Arial"/>
          <w:b/>
        </w:rPr>
        <w:t>79</w:t>
      </w:r>
      <w:r w:rsidR="004A7212" w:rsidRPr="00FC3D82">
        <w:rPr>
          <w:rFonts w:ascii="Arial" w:hAnsi="Arial" w:cs="Arial"/>
        </w:rPr>
        <w:t xml:space="preserve"> против </w:t>
      </w:r>
      <w:r w:rsidR="003C2864" w:rsidRPr="00FC3D82">
        <w:rPr>
          <w:rFonts w:ascii="Arial" w:hAnsi="Arial" w:cs="Arial"/>
          <w:b/>
        </w:rPr>
        <w:t>5</w:t>
      </w:r>
      <w:r w:rsidR="004A7212" w:rsidRPr="00FC3D82">
        <w:rPr>
          <w:rFonts w:ascii="Arial" w:hAnsi="Arial" w:cs="Arial"/>
          <w:b/>
        </w:rPr>
        <w:t>,</w:t>
      </w:r>
      <w:r w:rsidR="00ED22A7" w:rsidRPr="00FC3D82">
        <w:rPr>
          <w:rFonts w:ascii="Arial" w:hAnsi="Arial" w:cs="Arial"/>
          <w:b/>
        </w:rPr>
        <w:t>58</w:t>
      </w:r>
      <w:r w:rsidR="004A7212" w:rsidRPr="00FC3D82">
        <w:rPr>
          <w:rFonts w:ascii="Arial" w:hAnsi="Arial" w:cs="Arial"/>
        </w:rPr>
        <w:t xml:space="preserve"> в 20</w:t>
      </w:r>
      <w:r w:rsidR="00ED22A7" w:rsidRPr="00FC3D82">
        <w:rPr>
          <w:rFonts w:ascii="Arial" w:hAnsi="Arial" w:cs="Arial"/>
        </w:rPr>
        <w:t>20</w:t>
      </w:r>
      <w:r w:rsidRPr="00FC3D82">
        <w:rPr>
          <w:rFonts w:ascii="Arial" w:hAnsi="Arial" w:cs="Arial"/>
        </w:rPr>
        <w:t xml:space="preserve"> году. Динамика данных показателей обусловлена ростом выручки от реализации</w:t>
      </w:r>
      <w:r w:rsidR="00022FF1" w:rsidRPr="00FC3D82">
        <w:rPr>
          <w:rFonts w:ascii="Arial" w:hAnsi="Arial" w:cs="Arial"/>
        </w:rPr>
        <w:t xml:space="preserve"> продукции</w:t>
      </w:r>
      <w:r w:rsidR="00B70412" w:rsidRPr="00FC3D82">
        <w:rPr>
          <w:rFonts w:ascii="Arial" w:hAnsi="Arial" w:cs="Arial"/>
        </w:rPr>
        <w:t xml:space="preserve"> и </w:t>
      </w:r>
      <w:r w:rsidR="00B64713" w:rsidRPr="00FC3D82">
        <w:rPr>
          <w:rFonts w:ascii="Arial" w:hAnsi="Arial" w:cs="Arial"/>
        </w:rPr>
        <w:t>ростом</w:t>
      </w:r>
      <w:r w:rsidR="00B70412" w:rsidRPr="00FC3D82">
        <w:rPr>
          <w:rFonts w:ascii="Arial" w:hAnsi="Arial" w:cs="Arial"/>
        </w:rPr>
        <w:t xml:space="preserve"> запасов</w:t>
      </w:r>
      <w:r w:rsidR="00ED22A7" w:rsidRPr="00FC3D82">
        <w:rPr>
          <w:rFonts w:ascii="Arial" w:hAnsi="Arial" w:cs="Arial"/>
        </w:rPr>
        <w:t>.</w:t>
      </w:r>
    </w:p>
    <w:p w:rsidR="00E226E0" w:rsidRPr="00FC3D82" w:rsidRDefault="00C44F65" w:rsidP="00E226E0">
      <w:pPr>
        <w:tabs>
          <w:tab w:val="num" w:pos="1320"/>
        </w:tabs>
        <w:spacing w:before="120" w:after="120"/>
        <w:ind w:firstLine="709"/>
        <w:jc w:val="both"/>
        <w:rPr>
          <w:rFonts w:ascii="Arial" w:hAnsi="Arial" w:cs="Arial"/>
        </w:rPr>
      </w:pPr>
      <w:r w:rsidRPr="00FC3D82">
        <w:rPr>
          <w:rFonts w:ascii="Arial" w:hAnsi="Arial" w:cs="Arial"/>
        </w:rPr>
        <w:t>4</w:t>
      </w:r>
      <w:r w:rsidR="00E226E0" w:rsidRPr="00FC3D82">
        <w:rPr>
          <w:rFonts w:ascii="Arial" w:hAnsi="Arial" w:cs="Arial"/>
        </w:rPr>
        <w:t xml:space="preserve">. </w:t>
      </w:r>
      <w:r w:rsidR="00E226E0" w:rsidRPr="00FC3D82">
        <w:rPr>
          <w:rFonts w:ascii="Arial" w:hAnsi="Arial" w:cs="Arial"/>
          <w:b/>
        </w:rPr>
        <w:t>Значение коэффициента автономии</w:t>
      </w:r>
      <w:r w:rsidR="00B70412" w:rsidRPr="00FC3D82">
        <w:rPr>
          <w:rFonts w:ascii="Arial" w:hAnsi="Arial" w:cs="Arial"/>
        </w:rPr>
        <w:t xml:space="preserve"> по итогам 202</w:t>
      </w:r>
      <w:r w:rsidR="00ED22A7" w:rsidRPr="00FC3D82">
        <w:rPr>
          <w:rFonts w:ascii="Arial" w:hAnsi="Arial" w:cs="Arial"/>
        </w:rPr>
        <w:t>1</w:t>
      </w:r>
      <w:r w:rsidR="00E226E0" w:rsidRPr="00FC3D82">
        <w:rPr>
          <w:rFonts w:ascii="Arial" w:hAnsi="Arial" w:cs="Arial"/>
        </w:rPr>
        <w:t xml:space="preserve"> года составило </w:t>
      </w:r>
      <w:r w:rsidR="00E226E0" w:rsidRPr="00FC3D82">
        <w:rPr>
          <w:rFonts w:ascii="Arial" w:hAnsi="Arial" w:cs="Arial"/>
          <w:b/>
        </w:rPr>
        <w:t>0,</w:t>
      </w:r>
      <w:r w:rsidR="00B70412" w:rsidRPr="00FC3D82">
        <w:rPr>
          <w:rFonts w:ascii="Arial" w:hAnsi="Arial" w:cs="Arial"/>
          <w:b/>
        </w:rPr>
        <w:t>4</w:t>
      </w:r>
      <w:r w:rsidR="00ED22A7" w:rsidRPr="00FC3D82">
        <w:rPr>
          <w:rFonts w:ascii="Arial" w:hAnsi="Arial" w:cs="Arial"/>
          <w:b/>
        </w:rPr>
        <w:t>0</w:t>
      </w:r>
      <w:r w:rsidR="00484CF3" w:rsidRPr="00FC3D82">
        <w:rPr>
          <w:rFonts w:ascii="Arial" w:hAnsi="Arial" w:cs="Arial"/>
        </w:rPr>
        <w:t>, в 20</w:t>
      </w:r>
      <w:r w:rsidR="00ED22A7" w:rsidRPr="00FC3D82">
        <w:rPr>
          <w:rFonts w:ascii="Arial" w:hAnsi="Arial" w:cs="Arial"/>
        </w:rPr>
        <w:t>20</w:t>
      </w:r>
      <w:r w:rsidR="00484CF3" w:rsidRPr="00FC3D82">
        <w:rPr>
          <w:rFonts w:ascii="Arial" w:hAnsi="Arial" w:cs="Arial"/>
        </w:rPr>
        <w:t xml:space="preserve"> году аналогичный показатель составлял </w:t>
      </w:r>
      <w:r w:rsidR="00484CF3" w:rsidRPr="00FC3D82">
        <w:rPr>
          <w:rFonts w:ascii="Arial" w:hAnsi="Arial" w:cs="Arial"/>
          <w:b/>
        </w:rPr>
        <w:t>0,</w:t>
      </w:r>
      <w:r w:rsidR="00ED22A7" w:rsidRPr="00FC3D82">
        <w:rPr>
          <w:rFonts w:ascii="Arial" w:hAnsi="Arial" w:cs="Arial"/>
          <w:b/>
        </w:rPr>
        <w:t>45</w:t>
      </w:r>
      <w:r w:rsidR="003C2864" w:rsidRPr="00FC3D82">
        <w:rPr>
          <w:rFonts w:ascii="Arial" w:hAnsi="Arial" w:cs="Arial"/>
        </w:rPr>
        <w:t xml:space="preserve">), что </w:t>
      </w:r>
      <w:r w:rsidR="00ED22A7" w:rsidRPr="00FC3D82">
        <w:rPr>
          <w:rFonts w:ascii="Arial" w:hAnsi="Arial" w:cs="Arial"/>
        </w:rPr>
        <w:t>связано с</w:t>
      </w:r>
      <w:r w:rsidR="00B64713" w:rsidRPr="00FC3D82">
        <w:rPr>
          <w:rFonts w:ascii="Arial" w:hAnsi="Arial" w:cs="Arial"/>
        </w:rPr>
        <w:t xml:space="preserve">о снижением доли собственных средств в результате опережающего роста </w:t>
      </w:r>
      <w:r w:rsidR="00ED22A7" w:rsidRPr="00FC3D82">
        <w:rPr>
          <w:rFonts w:ascii="Arial" w:hAnsi="Arial" w:cs="Arial"/>
        </w:rPr>
        <w:t>балансовой стоимости активов</w:t>
      </w:r>
      <w:r w:rsidR="00B64713" w:rsidRPr="00FC3D82">
        <w:rPr>
          <w:rFonts w:ascii="Arial" w:hAnsi="Arial" w:cs="Arial"/>
        </w:rPr>
        <w:t xml:space="preserve"> над собственным капиталом</w:t>
      </w:r>
      <w:r w:rsidR="003C2864" w:rsidRPr="00FC3D82">
        <w:rPr>
          <w:rFonts w:ascii="Arial" w:hAnsi="Arial" w:cs="Arial"/>
        </w:rPr>
        <w:t>.</w:t>
      </w:r>
    </w:p>
    <w:p w:rsidR="00B70412" w:rsidRPr="00FC3D82" w:rsidRDefault="00C44F65" w:rsidP="00B70412">
      <w:pPr>
        <w:tabs>
          <w:tab w:val="num" w:pos="1320"/>
        </w:tabs>
        <w:spacing w:before="120" w:after="120"/>
        <w:ind w:firstLine="709"/>
        <w:jc w:val="both"/>
        <w:rPr>
          <w:rFonts w:ascii="Arial" w:hAnsi="Arial" w:cs="Arial"/>
        </w:rPr>
      </w:pPr>
      <w:r w:rsidRPr="00FC3D82">
        <w:rPr>
          <w:rFonts w:ascii="Arial" w:hAnsi="Arial" w:cs="Arial"/>
        </w:rPr>
        <w:t>5</w:t>
      </w:r>
      <w:r w:rsidR="00E226E0" w:rsidRPr="00FC3D82">
        <w:rPr>
          <w:rFonts w:ascii="Arial" w:hAnsi="Arial" w:cs="Arial"/>
        </w:rPr>
        <w:t xml:space="preserve">. </w:t>
      </w:r>
      <w:r w:rsidR="00E226E0" w:rsidRPr="00FC3D82">
        <w:rPr>
          <w:rFonts w:ascii="Arial" w:hAnsi="Arial" w:cs="Arial"/>
          <w:b/>
        </w:rPr>
        <w:t>Коэффициент текущей ликвидности</w:t>
      </w:r>
      <w:r w:rsidR="00E226E0" w:rsidRPr="00FC3D82">
        <w:rPr>
          <w:rFonts w:ascii="Arial" w:hAnsi="Arial" w:cs="Arial"/>
        </w:rPr>
        <w:t xml:space="preserve"> в 20</w:t>
      </w:r>
      <w:r w:rsidR="00B70412" w:rsidRPr="00FC3D82">
        <w:rPr>
          <w:rFonts w:ascii="Arial" w:hAnsi="Arial" w:cs="Arial"/>
        </w:rPr>
        <w:t>2</w:t>
      </w:r>
      <w:r w:rsidR="00ED22A7" w:rsidRPr="00FC3D82">
        <w:rPr>
          <w:rFonts w:ascii="Arial" w:hAnsi="Arial" w:cs="Arial"/>
        </w:rPr>
        <w:t>1</w:t>
      </w:r>
      <w:r w:rsidR="00E226E0" w:rsidRPr="00FC3D82">
        <w:rPr>
          <w:rFonts w:ascii="Arial" w:hAnsi="Arial" w:cs="Arial"/>
        </w:rPr>
        <w:t xml:space="preserve"> году составил </w:t>
      </w:r>
      <w:r w:rsidR="00E226E0" w:rsidRPr="00FC3D82">
        <w:rPr>
          <w:rFonts w:ascii="Arial" w:hAnsi="Arial" w:cs="Arial"/>
          <w:b/>
        </w:rPr>
        <w:t>1,</w:t>
      </w:r>
      <w:r w:rsidR="00ED22A7" w:rsidRPr="00FC3D82">
        <w:rPr>
          <w:rFonts w:ascii="Arial" w:hAnsi="Arial" w:cs="Arial"/>
          <w:b/>
        </w:rPr>
        <w:t>68</w:t>
      </w:r>
      <w:r w:rsidR="00E226E0" w:rsidRPr="00FC3D82">
        <w:rPr>
          <w:rFonts w:ascii="Arial" w:hAnsi="Arial" w:cs="Arial"/>
        </w:rPr>
        <w:t xml:space="preserve"> (против </w:t>
      </w:r>
      <w:r w:rsidR="00E226E0" w:rsidRPr="00FC3D82">
        <w:rPr>
          <w:rFonts w:ascii="Arial" w:hAnsi="Arial" w:cs="Arial"/>
          <w:b/>
        </w:rPr>
        <w:t>1,</w:t>
      </w:r>
      <w:r w:rsidR="00B70412" w:rsidRPr="00FC3D82">
        <w:rPr>
          <w:rFonts w:ascii="Arial" w:hAnsi="Arial" w:cs="Arial"/>
          <w:b/>
        </w:rPr>
        <w:t>2</w:t>
      </w:r>
      <w:r w:rsidR="00ED22A7" w:rsidRPr="00FC3D82">
        <w:rPr>
          <w:rFonts w:ascii="Arial" w:hAnsi="Arial" w:cs="Arial"/>
          <w:b/>
        </w:rPr>
        <w:t>4</w:t>
      </w:r>
      <w:r w:rsidR="00E226E0" w:rsidRPr="00FC3D82">
        <w:rPr>
          <w:rFonts w:ascii="Arial" w:hAnsi="Arial" w:cs="Arial"/>
        </w:rPr>
        <w:t xml:space="preserve"> в 201</w:t>
      </w:r>
      <w:r w:rsidR="00B70412" w:rsidRPr="00FC3D82">
        <w:rPr>
          <w:rFonts w:ascii="Arial" w:hAnsi="Arial" w:cs="Arial"/>
        </w:rPr>
        <w:t xml:space="preserve">9 году), что связано с </w:t>
      </w:r>
      <w:r w:rsidR="00ED22A7" w:rsidRPr="00FC3D82">
        <w:rPr>
          <w:rFonts w:ascii="Arial" w:hAnsi="Arial" w:cs="Arial"/>
        </w:rPr>
        <w:t>увеличением</w:t>
      </w:r>
      <w:r w:rsidR="00B70412" w:rsidRPr="00FC3D82">
        <w:rPr>
          <w:rFonts w:ascii="Arial" w:hAnsi="Arial" w:cs="Arial"/>
        </w:rPr>
        <w:t xml:space="preserve"> оборотных активов ПАО «КМЗ».</w:t>
      </w:r>
    </w:p>
    <w:p w:rsidR="00B9782F" w:rsidRPr="003C2864" w:rsidRDefault="004936DA" w:rsidP="00E226E0">
      <w:pPr>
        <w:tabs>
          <w:tab w:val="num" w:pos="1320"/>
        </w:tabs>
        <w:spacing w:before="120" w:after="120"/>
        <w:ind w:firstLine="709"/>
        <w:jc w:val="both"/>
        <w:rPr>
          <w:rFonts w:ascii="Arial" w:hAnsi="Arial" w:cs="Arial"/>
          <w:color w:val="FF0000"/>
        </w:rPr>
      </w:pPr>
      <w:r w:rsidRPr="00FC3D82">
        <w:rPr>
          <w:rFonts w:ascii="Arial" w:hAnsi="Arial" w:cs="Arial"/>
        </w:rPr>
        <w:t>6.</w:t>
      </w:r>
      <w:r w:rsidRPr="00FC3D82">
        <w:rPr>
          <w:rFonts w:ascii="Arial" w:hAnsi="Arial" w:cs="Arial"/>
          <w:b/>
        </w:rPr>
        <w:t xml:space="preserve"> </w:t>
      </w:r>
      <w:r w:rsidR="00E226E0" w:rsidRPr="00FC3D82">
        <w:rPr>
          <w:rFonts w:ascii="Arial" w:hAnsi="Arial" w:cs="Arial"/>
          <w:b/>
        </w:rPr>
        <w:t>Коэффициент критической ликвидности</w:t>
      </w:r>
      <w:r w:rsidR="00E226E0" w:rsidRPr="00FC3D82">
        <w:rPr>
          <w:rFonts w:ascii="Arial" w:hAnsi="Arial" w:cs="Arial"/>
        </w:rPr>
        <w:t xml:space="preserve"> – </w:t>
      </w:r>
      <w:r w:rsidR="00ED22A7" w:rsidRPr="00FC3D82">
        <w:rPr>
          <w:rFonts w:ascii="Arial" w:hAnsi="Arial" w:cs="Arial"/>
          <w:b/>
        </w:rPr>
        <w:t>1</w:t>
      </w:r>
      <w:r w:rsidR="00E226E0" w:rsidRPr="00FC3D82">
        <w:rPr>
          <w:rFonts w:ascii="Arial" w:hAnsi="Arial" w:cs="Arial"/>
          <w:b/>
        </w:rPr>
        <w:t>,</w:t>
      </w:r>
      <w:r w:rsidR="00ED22A7" w:rsidRPr="00FC3D82">
        <w:rPr>
          <w:rFonts w:ascii="Arial" w:hAnsi="Arial" w:cs="Arial"/>
          <w:b/>
        </w:rPr>
        <w:t>10</w:t>
      </w:r>
      <w:r w:rsidR="00E226E0" w:rsidRPr="00FC3D82">
        <w:rPr>
          <w:rFonts w:ascii="Arial" w:hAnsi="Arial" w:cs="Arial"/>
        </w:rPr>
        <w:t xml:space="preserve"> в 20</w:t>
      </w:r>
      <w:r w:rsidR="0067517A" w:rsidRPr="00FC3D82">
        <w:rPr>
          <w:rFonts w:ascii="Arial" w:hAnsi="Arial" w:cs="Arial"/>
        </w:rPr>
        <w:t>2</w:t>
      </w:r>
      <w:r w:rsidR="00ED22A7" w:rsidRPr="00FC3D82">
        <w:rPr>
          <w:rFonts w:ascii="Arial" w:hAnsi="Arial" w:cs="Arial"/>
        </w:rPr>
        <w:t>1</w:t>
      </w:r>
      <w:r w:rsidR="00E226E0" w:rsidRPr="00FC3D82">
        <w:rPr>
          <w:rFonts w:ascii="Arial" w:hAnsi="Arial" w:cs="Arial"/>
        </w:rPr>
        <w:t xml:space="preserve"> году (против </w:t>
      </w:r>
      <w:r w:rsidR="00E226E0" w:rsidRPr="00FC3D82">
        <w:rPr>
          <w:rFonts w:ascii="Arial" w:hAnsi="Arial" w:cs="Arial"/>
          <w:b/>
        </w:rPr>
        <w:t>0,</w:t>
      </w:r>
      <w:r w:rsidR="00ED22A7" w:rsidRPr="00FC3D82">
        <w:rPr>
          <w:rFonts w:ascii="Arial" w:hAnsi="Arial" w:cs="Arial"/>
          <w:b/>
        </w:rPr>
        <w:t>69</w:t>
      </w:r>
      <w:r w:rsidR="00E226E0" w:rsidRPr="00FC3D82">
        <w:rPr>
          <w:rFonts w:ascii="Arial" w:hAnsi="Arial" w:cs="Arial"/>
        </w:rPr>
        <w:t xml:space="preserve"> в 20</w:t>
      </w:r>
      <w:r w:rsidR="00ED22A7" w:rsidRPr="00FC3D82">
        <w:rPr>
          <w:rFonts w:ascii="Arial" w:hAnsi="Arial" w:cs="Arial"/>
        </w:rPr>
        <w:t>20</w:t>
      </w:r>
      <w:r w:rsidR="00E226E0" w:rsidRPr="00FC3D82">
        <w:rPr>
          <w:rFonts w:ascii="Arial" w:hAnsi="Arial" w:cs="Arial"/>
        </w:rPr>
        <w:t xml:space="preserve"> году), что связано с</w:t>
      </w:r>
      <w:r w:rsidR="00B70412" w:rsidRPr="00FC3D82">
        <w:rPr>
          <w:rFonts w:ascii="Arial" w:hAnsi="Arial" w:cs="Arial"/>
        </w:rPr>
        <w:t xml:space="preserve"> </w:t>
      </w:r>
      <w:r w:rsidR="00ED22A7" w:rsidRPr="00FC3D82">
        <w:rPr>
          <w:rFonts w:ascii="Arial" w:hAnsi="Arial" w:cs="Arial"/>
        </w:rPr>
        <w:t>ростом</w:t>
      </w:r>
      <w:r w:rsidR="00E226E0" w:rsidRPr="00FC3D82">
        <w:rPr>
          <w:rFonts w:ascii="Arial" w:hAnsi="Arial" w:cs="Arial"/>
        </w:rPr>
        <w:t xml:space="preserve"> </w:t>
      </w:r>
      <w:r w:rsidR="00B70412" w:rsidRPr="00FC3D82">
        <w:rPr>
          <w:rFonts w:ascii="Arial" w:hAnsi="Arial" w:cs="Arial"/>
        </w:rPr>
        <w:t xml:space="preserve">размера </w:t>
      </w:r>
      <w:r w:rsidR="00ED22A7" w:rsidRPr="00FC3D82">
        <w:rPr>
          <w:rFonts w:ascii="Arial" w:hAnsi="Arial" w:cs="Arial"/>
        </w:rPr>
        <w:t>дебиторской задолженности</w:t>
      </w:r>
      <w:r w:rsidR="00B70412" w:rsidRPr="00FC3D82">
        <w:rPr>
          <w:rFonts w:ascii="Arial" w:hAnsi="Arial" w:cs="Arial"/>
        </w:rPr>
        <w:t>, а также увеличением остатка денежных средств.</w:t>
      </w:r>
      <w:r w:rsidR="00B9782F" w:rsidRPr="003C2864">
        <w:rPr>
          <w:rFonts w:ascii="Arial" w:hAnsi="Arial" w:cs="Arial"/>
          <w:color w:val="FF0000"/>
        </w:rPr>
        <w:t xml:space="preserve"> </w:t>
      </w:r>
    </w:p>
    <w:p w:rsidR="0043301E" w:rsidRPr="00044C17" w:rsidRDefault="0043301E">
      <w:pPr>
        <w:spacing w:after="200"/>
        <w:jc w:val="both"/>
        <w:rPr>
          <w:rFonts w:ascii="Arial" w:hAnsi="Arial" w:cs="Arial"/>
          <w:b/>
          <w:bCs/>
          <w:sz w:val="32"/>
          <w:highlight w:val="yellow"/>
        </w:rPr>
      </w:pPr>
      <w:r w:rsidRPr="00044C17">
        <w:rPr>
          <w:rFonts w:ascii="Arial" w:hAnsi="Arial" w:cs="Arial"/>
          <w:sz w:val="32"/>
          <w:highlight w:val="yellow"/>
        </w:rPr>
        <w:br w:type="page"/>
      </w:r>
    </w:p>
    <w:p w:rsidR="00531B19" w:rsidRPr="009D498B" w:rsidRDefault="00531B19" w:rsidP="00530215">
      <w:pPr>
        <w:pStyle w:val="1"/>
        <w:spacing w:before="120" w:after="120"/>
        <w:rPr>
          <w:rFonts w:ascii="Arial" w:hAnsi="Arial" w:cs="Arial"/>
          <w:sz w:val="32"/>
        </w:rPr>
      </w:pPr>
      <w:bookmarkStart w:id="32" w:name="_Toc100678747"/>
      <w:r w:rsidRPr="003C47E8">
        <w:rPr>
          <w:rFonts w:ascii="Arial" w:hAnsi="Arial" w:cs="Arial"/>
          <w:sz w:val="32"/>
        </w:rPr>
        <w:lastRenderedPageBreak/>
        <w:t>Информация об объеме использованных Обществом в отчетном году видов энергетических ресурсов</w:t>
      </w:r>
      <w:bookmarkEnd w:id="31"/>
      <w:bookmarkEnd w:id="32"/>
    </w:p>
    <w:p w:rsidR="00DA4354" w:rsidRPr="009D498B" w:rsidRDefault="00DA4354" w:rsidP="00DA4354">
      <w:pPr>
        <w:pStyle w:val="a5"/>
        <w:ind w:firstLine="709"/>
        <w:rPr>
          <w:rFonts w:ascii="Arial" w:hAnsi="Arial" w:cs="Arial"/>
          <w:bCs/>
          <w:szCs w:val="22"/>
        </w:rPr>
      </w:pPr>
      <w:r w:rsidRPr="009D498B">
        <w:rPr>
          <w:rFonts w:ascii="Arial" w:hAnsi="Arial" w:cs="Arial"/>
          <w:bCs/>
          <w:szCs w:val="22"/>
        </w:rPr>
        <w:t>В 20</w:t>
      </w:r>
      <w:r w:rsidR="00826C37">
        <w:rPr>
          <w:rFonts w:ascii="Arial" w:hAnsi="Arial" w:cs="Arial"/>
          <w:bCs/>
          <w:szCs w:val="22"/>
        </w:rPr>
        <w:t>2</w:t>
      </w:r>
      <w:r w:rsidR="00E52D2E">
        <w:rPr>
          <w:rFonts w:ascii="Arial" w:hAnsi="Arial" w:cs="Arial"/>
          <w:bCs/>
          <w:szCs w:val="22"/>
        </w:rPr>
        <w:t>1</w:t>
      </w:r>
      <w:r w:rsidRPr="009D498B">
        <w:rPr>
          <w:rFonts w:ascii="Arial" w:hAnsi="Arial" w:cs="Arial"/>
          <w:bCs/>
          <w:szCs w:val="22"/>
        </w:rPr>
        <w:t xml:space="preserve"> году ПАО «КМЗ» использовало в процессе своей хозяйственной деятельности следующие энергетические ресурсы:</w:t>
      </w:r>
    </w:p>
    <w:p w:rsidR="00DA4354" w:rsidRPr="009D498B" w:rsidRDefault="00DA4354" w:rsidP="00DA4354">
      <w:pPr>
        <w:pStyle w:val="a5"/>
        <w:ind w:firstLine="709"/>
        <w:rPr>
          <w:rFonts w:ascii="Arial" w:hAnsi="Arial" w:cs="Arial"/>
          <w:bCs/>
          <w:szCs w:val="22"/>
        </w:rPr>
      </w:pPr>
    </w:p>
    <w:p w:rsidR="00DA4354" w:rsidRPr="009D498B" w:rsidRDefault="00DA4354" w:rsidP="00DA4354">
      <w:pPr>
        <w:pStyle w:val="a5"/>
        <w:ind w:firstLine="0"/>
        <w:jc w:val="center"/>
        <w:rPr>
          <w:rFonts w:ascii="Arial" w:hAnsi="Arial" w:cs="Arial"/>
          <w:bCs/>
          <w:i/>
          <w:szCs w:val="22"/>
        </w:rPr>
      </w:pPr>
      <w:r w:rsidRPr="009D498B">
        <w:rPr>
          <w:rFonts w:ascii="Arial" w:hAnsi="Arial" w:cs="Arial"/>
          <w:bCs/>
          <w:i/>
          <w:szCs w:val="22"/>
        </w:rPr>
        <w:t>Таблица 1</w:t>
      </w:r>
      <w:r w:rsidR="006B7CE0">
        <w:rPr>
          <w:rFonts w:ascii="Arial" w:hAnsi="Arial" w:cs="Arial"/>
          <w:bCs/>
          <w:i/>
          <w:szCs w:val="22"/>
        </w:rPr>
        <w:t>2</w:t>
      </w:r>
      <w:r w:rsidRPr="009D498B">
        <w:rPr>
          <w:rFonts w:ascii="Arial" w:hAnsi="Arial" w:cs="Arial"/>
          <w:bCs/>
          <w:i/>
          <w:szCs w:val="22"/>
        </w:rPr>
        <w:t>. П</w:t>
      </w:r>
      <w:r w:rsidR="00D85D39">
        <w:rPr>
          <w:rFonts w:ascii="Arial" w:hAnsi="Arial" w:cs="Arial"/>
          <w:bCs/>
          <w:i/>
          <w:szCs w:val="22"/>
        </w:rPr>
        <w:t>риобретение</w:t>
      </w:r>
      <w:r w:rsidRPr="009D498B">
        <w:rPr>
          <w:rFonts w:ascii="Arial" w:hAnsi="Arial" w:cs="Arial"/>
          <w:bCs/>
          <w:i/>
          <w:szCs w:val="22"/>
        </w:rPr>
        <w:t xml:space="preserve"> энергетических ресурсов в 20</w:t>
      </w:r>
      <w:r w:rsidR="00826C37">
        <w:rPr>
          <w:rFonts w:ascii="Arial" w:hAnsi="Arial" w:cs="Arial"/>
          <w:bCs/>
          <w:i/>
          <w:szCs w:val="22"/>
        </w:rPr>
        <w:t>2</w:t>
      </w:r>
      <w:r w:rsidR="00FC3D82">
        <w:rPr>
          <w:rFonts w:ascii="Arial" w:hAnsi="Arial" w:cs="Arial"/>
          <w:bCs/>
          <w:i/>
          <w:szCs w:val="22"/>
        </w:rPr>
        <w:t>1</w:t>
      </w:r>
      <w:r w:rsidRPr="009D498B">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180"/>
        <w:gridCol w:w="1380"/>
        <w:gridCol w:w="1720"/>
        <w:gridCol w:w="2069"/>
      </w:tblGrid>
      <w:tr w:rsidR="00DA4354" w:rsidRPr="00082B6E"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Ед. изм.</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Сумма,</w:t>
            </w:r>
          </w:p>
          <w:p w:rsidR="00DA4354" w:rsidRPr="00082B6E" w:rsidRDefault="00DA4354" w:rsidP="006C6345">
            <w:pPr>
              <w:jc w:val="center"/>
              <w:rPr>
                <w:rFonts w:ascii="Arial" w:hAnsi="Arial" w:cs="Arial"/>
                <w:b/>
                <w:sz w:val="20"/>
                <w:szCs w:val="20"/>
              </w:rPr>
            </w:pPr>
            <w:r w:rsidRPr="00082B6E">
              <w:rPr>
                <w:rFonts w:ascii="Arial" w:hAnsi="Arial" w:cs="Arial"/>
                <w:b/>
                <w:sz w:val="20"/>
                <w:szCs w:val="20"/>
              </w:rPr>
              <w:t>тыс. руб. без НДС</w:t>
            </w:r>
          </w:p>
        </w:tc>
      </w:tr>
      <w:tr w:rsidR="00826C37" w:rsidRPr="00082B6E" w:rsidTr="006C6345">
        <w:trPr>
          <w:trHeight w:val="315"/>
          <w:jc w:val="center"/>
        </w:trPr>
        <w:tc>
          <w:tcPr>
            <w:tcW w:w="2180" w:type="dxa"/>
            <w:tcBorders>
              <w:top w:val="single" w:sz="4" w:space="0" w:color="auto"/>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Кокс</w:t>
            </w:r>
          </w:p>
        </w:tc>
        <w:tc>
          <w:tcPr>
            <w:tcW w:w="1380" w:type="dxa"/>
            <w:tcBorders>
              <w:top w:val="single" w:sz="4" w:space="0" w:color="auto"/>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т</w:t>
            </w:r>
          </w:p>
        </w:tc>
        <w:tc>
          <w:tcPr>
            <w:tcW w:w="1720" w:type="dxa"/>
            <w:tcBorders>
              <w:top w:val="single" w:sz="4" w:space="0" w:color="auto"/>
              <w:left w:val="nil"/>
              <w:right w:val="nil"/>
            </w:tcBorders>
            <w:noWrap/>
            <w:vAlign w:val="center"/>
          </w:tcPr>
          <w:p w:rsidR="00826C37" w:rsidRPr="00E52D2E" w:rsidRDefault="003173BF" w:rsidP="003173BF">
            <w:pPr>
              <w:jc w:val="center"/>
              <w:rPr>
                <w:rFonts w:ascii="Arial" w:hAnsi="Arial" w:cs="Arial"/>
                <w:color w:val="000000"/>
                <w:sz w:val="20"/>
                <w:szCs w:val="20"/>
              </w:rPr>
            </w:pPr>
            <w:r w:rsidRPr="00E52D2E">
              <w:rPr>
                <w:rFonts w:ascii="Arial" w:hAnsi="Arial" w:cs="Arial"/>
                <w:color w:val="000000"/>
                <w:sz w:val="20"/>
                <w:szCs w:val="20"/>
              </w:rPr>
              <w:t>330 537</w:t>
            </w:r>
          </w:p>
        </w:tc>
        <w:tc>
          <w:tcPr>
            <w:tcW w:w="2069" w:type="dxa"/>
            <w:tcBorders>
              <w:top w:val="single" w:sz="4" w:space="0" w:color="auto"/>
              <w:left w:val="nil"/>
            </w:tcBorders>
            <w:noWrap/>
            <w:vAlign w:val="center"/>
          </w:tcPr>
          <w:p w:rsidR="00826C37" w:rsidRPr="00E52D2E" w:rsidRDefault="003173BF" w:rsidP="003173BF">
            <w:pPr>
              <w:jc w:val="center"/>
              <w:rPr>
                <w:rFonts w:ascii="Arial" w:hAnsi="Arial" w:cs="Arial"/>
                <w:color w:val="000000"/>
                <w:sz w:val="20"/>
                <w:szCs w:val="20"/>
              </w:rPr>
            </w:pPr>
            <w:r w:rsidRPr="00E52D2E">
              <w:rPr>
                <w:rFonts w:ascii="Arial" w:hAnsi="Arial" w:cs="Arial"/>
                <w:color w:val="000000"/>
                <w:sz w:val="20"/>
                <w:szCs w:val="20"/>
              </w:rPr>
              <w:t>8 284 679</w:t>
            </w:r>
          </w:p>
        </w:tc>
      </w:tr>
      <w:tr w:rsidR="00C51F05" w:rsidRPr="00082B6E" w:rsidTr="00B4263D">
        <w:trPr>
          <w:trHeight w:val="315"/>
          <w:jc w:val="center"/>
        </w:trPr>
        <w:tc>
          <w:tcPr>
            <w:tcW w:w="2180" w:type="dxa"/>
            <w:tcBorders>
              <w:right w:val="nil"/>
            </w:tcBorders>
            <w:noWrap/>
            <w:vAlign w:val="center"/>
          </w:tcPr>
          <w:p w:rsidR="00C51F05" w:rsidRPr="00082B6E" w:rsidRDefault="00C51F05" w:rsidP="00C51F05">
            <w:pPr>
              <w:rPr>
                <w:rFonts w:ascii="Arial" w:hAnsi="Arial" w:cs="Arial"/>
                <w:sz w:val="20"/>
                <w:szCs w:val="20"/>
              </w:rPr>
            </w:pPr>
            <w:r w:rsidRPr="00082B6E">
              <w:rPr>
                <w:rFonts w:ascii="Arial" w:hAnsi="Arial" w:cs="Arial"/>
                <w:sz w:val="20"/>
                <w:szCs w:val="20"/>
              </w:rPr>
              <w:t>Природный газ</w:t>
            </w:r>
          </w:p>
        </w:tc>
        <w:tc>
          <w:tcPr>
            <w:tcW w:w="1380" w:type="dxa"/>
            <w:tcBorders>
              <w:left w:val="nil"/>
              <w:right w:val="nil"/>
            </w:tcBorders>
            <w:noWrap/>
            <w:vAlign w:val="center"/>
          </w:tcPr>
          <w:p w:rsidR="00C51F05" w:rsidRPr="00082B6E" w:rsidRDefault="00C51F05" w:rsidP="00C51F05">
            <w:pPr>
              <w:jc w:val="center"/>
              <w:rPr>
                <w:rFonts w:ascii="Arial" w:hAnsi="Arial" w:cs="Arial"/>
                <w:sz w:val="20"/>
                <w:szCs w:val="20"/>
              </w:rPr>
            </w:pPr>
            <w:r w:rsidRPr="00082B6E">
              <w:rPr>
                <w:rFonts w:ascii="Arial" w:hAnsi="Arial" w:cs="Arial"/>
                <w:sz w:val="20"/>
                <w:szCs w:val="20"/>
              </w:rPr>
              <w:t>тыс. м</w:t>
            </w:r>
            <w:r w:rsidRPr="00082B6E">
              <w:rPr>
                <w:rFonts w:ascii="Arial" w:hAnsi="Arial" w:cs="Arial"/>
                <w:sz w:val="20"/>
                <w:szCs w:val="20"/>
                <w:vertAlign w:val="superscript"/>
              </w:rPr>
              <w:t>3</w:t>
            </w:r>
          </w:p>
        </w:tc>
        <w:tc>
          <w:tcPr>
            <w:tcW w:w="1720" w:type="dxa"/>
            <w:tcBorders>
              <w:left w:val="nil"/>
              <w:right w:val="nil"/>
            </w:tcBorders>
            <w:noWrap/>
          </w:tcPr>
          <w:p w:rsidR="00C51F05" w:rsidRPr="00E52D2E" w:rsidRDefault="00C51F05" w:rsidP="00C51F05">
            <w:pPr>
              <w:jc w:val="center"/>
              <w:rPr>
                <w:rFonts w:ascii="Arial" w:hAnsi="Arial" w:cs="Arial"/>
                <w:color w:val="000000"/>
                <w:sz w:val="20"/>
                <w:szCs w:val="20"/>
              </w:rPr>
            </w:pPr>
            <w:r w:rsidRPr="00E52D2E">
              <w:rPr>
                <w:rFonts w:ascii="Arial" w:hAnsi="Arial" w:cs="Arial"/>
                <w:color w:val="000000"/>
                <w:sz w:val="20"/>
                <w:szCs w:val="20"/>
              </w:rPr>
              <w:t>93 120</w:t>
            </w:r>
          </w:p>
        </w:tc>
        <w:tc>
          <w:tcPr>
            <w:tcW w:w="2069" w:type="dxa"/>
            <w:tcBorders>
              <w:left w:val="nil"/>
            </w:tcBorders>
            <w:noWrap/>
          </w:tcPr>
          <w:p w:rsidR="00C51F05" w:rsidRPr="00E52D2E" w:rsidRDefault="00C51F05" w:rsidP="00C51F05">
            <w:pPr>
              <w:jc w:val="center"/>
              <w:rPr>
                <w:rFonts w:ascii="Arial" w:hAnsi="Arial" w:cs="Arial"/>
                <w:color w:val="000000"/>
                <w:sz w:val="20"/>
                <w:szCs w:val="20"/>
              </w:rPr>
            </w:pPr>
            <w:r w:rsidRPr="00E52D2E">
              <w:rPr>
                <w:rFonts w:ascii="Arial" w:hAnsi="Arial" w:cs="Arial"/>
                <w:color w:val="000000"/>
                <w:sz w:val="20"/>
                <w:szCs w:val="20"/>
              </w:rPr>
              <w:t>547 912</w:t>
            </w:r>
          </w:p>
        </w:tc>
      </w:tr>
      <w:tr w:rsidR="003173BF" w:rsidRPr="00082B6E" w:rsidTr="006C6345">
        <w:trPr>
          <w:trHeight w:val="315"/>
          <w:jc w:val="center"/>
        </w:trPr>
        <w:tc>
          <w:tcPr>
            <w:tcW w:w="2180" w:type="dxa"/>
            <w:tcBorders>
              <w:right w:val="nil"/>
            </w:tcBorders>
            <w:noWrap/>
            <w:vAlign w:val="center"/>
          </w:tcPr>
          <w:p w:rsidR="003173BF" w:rsidRPr="00082B6E" w:rsidRDefault="003173BF" w:rsidP="003173BF">
            <w:pPr>
              <w:rPr>
                <w:rFonts w:ascii="Arial" w:hAnsi="Arial" w:cs="Arial"/>
                <w:sz w:val="20"/>
                <w:szCs w:val="20"/>
              </w:rPr>
            </w:pPr>
            <w:r w:rsidRPr="00082B6E">
              <w:rPr>
                <w:rFonts w:ascii="Arial" w:hAnsi="Arial" w:cs="Arial"/>
                <w:sz w:val="20"/>
                <w:szCs w:val="20"/>
              </w:rPr>
              <w:t>Дизтопливо</w:t>
            </w:r>
          </w:p>
        </w:tc>
        <w:tc>
          <w:tcPr>
            <w:tcW w:w="1380" w:type="dxa"/>
            <w:tcBorders>
              <w:left w:val="nil"/>
              <w:right w:val="nil"/>
            </w:tcBorders>
            <w:noWrap/>
            <w:vAlign w:val="center"/>
          </w:tcPr>
          <w:p w:rsidR="003173BF" w:rsidRPr="00082B6E" w:rsidRDefault="003173BF" w:rsidP="003173BF">
            <w:pPr>
              <w:jc w:val="center"/>
              <w:rPr>
                <w:rFonts w:ascii="Arial" w:hAnsi="Arial" w:cs="Arial"/>
                <w:sz w:val="20"/>
                <w:szCs w:val="20"/>
              </w:rPr>
            </w:pPr>
            <w:r w:rsidRPr="00082B6E">
              <w:rPr>
                <w:rFonts w:ascii="Arial" w:hAnsi="Arial" w:cs="Arial"/>
                <w:sz w:val="20"/>
                <w:szCs w:val="20"/>
              </w:rPr>
              <w:t>л</w:t>
            </w:r>
          </w:p>
        </w:tc>
        <w:tc>
          <w:tcPr>
            <w:tcW w:w="1720" w:type="dxa"/>
            <w:tcBorders>
              <w:left w:val="nil"/>
              <w:right w:val="nil"/>
            </w:tcBorders>
            <w:noWrap/>
            <w:vAlign w:val="center"/>
          </w:tcPr>
          <w:p w:rsidR="003173BF" w:rsidRPr="00E52D2E" w:rsidRDefault="003173BF" w:rsidP="003173BF">
            <w:pPr>
              <w:jc w:val="center"/>
              <w:rPr>
                <w:rFonts w:ascii="Arial" w:hAnsi="Arial" w:cs="Arial"/>
                <w:color w:val="000000"/>
                <w:sz w:val="20"/>
                <w:szCs w:val="20"/>
              </w:rPr>
            </w:pPr>
            <w:r w:rsidRPr="00E52D2E">
              <w:rPr>
                <w:rFonts w:ascii="Arial" w:hAnsi="Arial" w:cs="Arial"/>
                <w:color w:val="000000"/>
                <w:sz w:val="20"/>
                <w:szCs w:val="20"/>
              </w:rPr>
              <w:t>1 141 952</w:t>
            </w:r>
          </w:p>
        </w:tc>
        <w:tc>
          <w:tcPr>
            <w:tcW w:w="2069" w:type="dxa"/>
            <w:tcBorders>
              <w:left w:val="nil"/>
            </w:tcBorders>
            <w:noWrap/>
            <w:vAlign w:val="center"/>
          </w:tcPr>
          <w:p w:rsidR="003173BF" w:rsidRPr="00E52D2E" w:rsidRDefault="003173BF" w:rsidP="003173BF">
            <w:pPr>
              <w:jc w:val="center"/>
              <w:rPr>
                <w:rFonts w:ascii="Arial" w:hAnsi="Arial" w:cs="Arial"/>
                <w:color w:val="000000"/>
                <w:sz w:val="20"/>
                <w:szCs w:val="20"/>
              </w:rPr>
            </w:pPr>
            <w:r w:rsidRPr="00E52D2E">
              <w:rPr>
                <w:rFonts w:ascii="Arial" w:hAnsi="Arial" w:cs="Arial"/>
                <w:color w:val="000000"/>
                <w:sz w:val="20"/>
                <w:szCs w:val="20"/>
              </w:rPr>
              <w:t>42 389</w:t>
            </w:r>
          </w:p>
        </w:tc>
      </w:tr>
      <w:tr w:rsidR="003173BF" w:rsidRPr="00082B6E" w:rsidTr="006C6345">
        <w:trPr>
          <w:trHeight w:val="315"/>
          <w:jc w:val="center"/>
        </w:trPr>
        <w:tc>
          <w:tcPr>
            <w:tcW w:w="2180" w:type="dxa"/>
            <w:tcBorders>
              <w:right w:val="nil"/>
            </w:tcBorders>
            <w:noWrap/>
            <w:vAlign w:val="center"/>
          </w:tcPr>
          <w:p w:rsidR="003173BF" w:rsidRPr="00082B6E" w:rsidRDefault="003173BF" w:rsidP="003173BF">
            <w:pPr>
              <w:rPr>
                <w:rFonts w:ascii="Arial" w:hAnsi="Arial" w:cs="Arial"/>
                <w:sz w:val="20"/>
                <w:szCs w:val="20"/>
              </w:rPr>
            </w:pPr>
            <w:r w:rsidRPr="00082B6E">
              <w:rPr>
                <w:rFonts w:ascii="Arial" w:hAnsi="Arial" w:cs="Arial"/>
                <w:sz w:val="20"/>
                <w:szCs w:val="20"/>
              </w:rPr>
              <w:t>Бензин</w:t>
            </w:r>
          </w:p>
        </w:tc>
        <w:tc>
          <w:tcPr>
            <w:tcW w:w="1380" w:type="dxa"/>
            <w:tcBorders>
              <w:left w:val="nil"/>
              <w:right w:val="nil"/>
            </w:tcBorders>
            <w:noWrap/>
            <w:vAlign w:val="center"/>
          </w:tcPr>
          <w:p w:rsidR="003173BF" w:rsidRPr="00082B6E" w:rsidRDefault="003173BF" w:rsidP="003173BF">
            <w:pPr>
              <w:jc w:val="center"/>
              <w:rPr>
                <w:rFonts w:ascii="Arial" w:hAnsi="Arial" w:cs="Arial"/>
                <w:sz w:val="20"/>
                <w:szCs w:val="20"/>
              </w:rPr>
            </w:pPr>
            <w:r w:rsidRPr="00082B6E">
              <w:rPr>
                <w:rFonts w:ascii="Arial" w:hAnsi="Arial" w:cs="Arial"/>
                <w:sz w:val="20"/>
                <w:szCs w:val="20"/>
              </w:rPr>
              <w:t>л</w:t>
            </w:r>
          </w:p>
        </w:tc>
        <w:tc>
          <w:tcPr>
            <w:tcW w:w="1720" w:type="dxa"/>
            <w:tcBorders>
              <w:left w:val="nil"/>
              <w:right w:val="nil"/>
            </w:tcBorders>
            <w:noWrap/>
            <w:vAlign w:val="center"/>
          </w:tcPr>
          <w:p w:rsidR="003173BF" w:rsidRPr="00E52D2E" w:rsidRDefault="003173BF" w:rsidP="003173BF">
            <w:pPr>
              <w:jc w:val="center"/>
              <w:rPr>
                <w:rFonts w:ascii="Arial" w:hAnsi="Arial" w:cs="Arial"/>
                <w:color w:val="000000"/>
                <w:sz w:val="20"/>
                <w:szCs w:val="20"/>
              </w:rPr>
            </w:pPr>
            <w:r w:rsidRPr="00E52D2E">
              <w:rPr>
                <w:rFonts w:ascii="Arial" w:hAnsi="Arial" w:cs="Arial"/>
                <w:color w:val="000000"/>
                <w:sz w:val="20"/>
                <w:szCs w:val="20"/>
              </w:rPr>
              <w:t>166 228</w:t>
            </w:r>
          </w:p>
        </w:tc>
        <w:tc>
          <w:tcPr>
            <w:tcW w:w="2069" w:type="dxa"/>
            <w:tcBorders>
              <w:left w:val="nil"/>
            </w:tcBorders>
            <w:noWrap/>
            <w:vAlign w:val="center"/>
          </w:tcPr>
          <w:p w:rsidR="003173BF" w:rsidRPr="00E52D2E" w:rsidRDefault="003173BF" w:rsidP="003173BF">
            <w:pPr>
              <w:jc w:val="center"/>
              <w:rPr>
                <w:rFonts w:ascii="Arial" w:hAnsi="Arial" w:cs="Arial"/>
                <w:color w:val="000000"/>
                <w:sz w:val="20"/>
                <w:szCs w:val="20"/>
              </w:rPr>
            </w:pPr>
            <w:r w:rsidRPr="00E52D2E">
              <w:rPr>
                <w:rFonts w:ascii="Arial" w:hAnsi="Arial" w:cs="Arial"/>
                <w:color w:val="000000"/>
                <w:sz w:val="20"/>
                <w:szCs w:val="20"/>
              </w:rPr>
              <w:t>6 465</w:t>
            </w:r>
          </w:p>
        </w:tc>
      </w:tr>
      <w:tr w:rsidR="00826C37" w:rsidRPr="00082B6E" w:rsidTr="006C6345">
        <w:trPr>
          <w:trHeight w:val="315"/>
          <w:jc w:val="center"/>
        </w:trPr>
        <w:tc>
          <w:tcPr>
            <w:tcW w:w="2180" w:type="dxa"/>
            <w:tcBorders>
              <w:right w:val="nil"/>
            </w:tcBorders>
            <w:noWrap/>
            <w:vAlign w:val="center"/>
          </w:tcPr>
          <w:p w:rsidR="00826C37" w:rsidRPr="00082B6E" w:rsidRDefault="00826C37" w:rsidP="00826C37">
            <w:pPr>
              <w:rPr>
                <w:rFonts w:ascii="Arial" w:hAnsi="Arial" w:cs="Arial"/>
                <w:sz w:val="20"/>
                <w:szCs w:val="20"/>
              </w:rPr>
            </w:pPr>
            <w:r w:rsidRPr="00082B6E">
              <w:rPr>
                <w:rFonts w:ascii="Arial" w:hAnsi="Arial" w:cs="Arial"/>
                <w:sz w:val="20"/>
                <w:szCs w:val="20"/>
              </w:rPr>
              <w:t>Питьевая вода</w:t>
            </w:r>
          </w:p>
        </w:tc>
        <w:tc>
          <w:tcPr>
            <w:tcW w:w="1380" w:type="dxa"/>
            <w:tcBorders>
              <w:left w:val="nil"/>
              <w:right w:val="nil"/>
            </w:tcBorders>
            <w:noWrap/>
            <w:vAlign w:val="center"/>
          </w:tcPr>
          <w:p w:rsidR="00826C37" w:rsidRPr="00082B6E" w:rsidRDefault="00826C37" w:rsidP="00826C37">
            <w:pPr>
              <w:jc w:val="center"/>
              <w:rPr>
                <w:rFonts w:ascii="Arial" w:hAnsi="Arial" w:cs="Arial"/>
                <w:sz w:val="20"/>
                <w:szCs w:val="20"/>
              </w:rPr>
            </w:pPr>
            <w:r w:rsidRPr="00082B6E">
              <w:rPr>
                <w:rFonts w:ascii="Arial" w:hAnsi="Arial" w:cs="Arial"/>
                <w:sz w:val="20"/>
                <w:szCs w:val="20"/>
              </w:rPr>
              <w:t>м</w:t>
            </w:r>
            <w:r w:rsidRPr="00082B6E">
              <w:rPr>
                <w:rFonts w:ascii="Arial" w:hAnsi="Arial" w:cs="Arial"/>
                <w:sz w:val="20"/>
                <w:szCs w:val="20"/>
                <w:vertAlign w:val="superscript"/>
              </w:rPr>
              <w:t>3</w:t>
            </w:r>
          </w:p>
        </w:tc>
        <w:tc>
          <w:tcPr>
            <w:tcW w:w="1720" w:type="dxa"/>
            <w:tcBorders>
              <w:left w:val="nil"/>
              <w:right w:val="nil"/>
            </w:tcBorders>
            <w:noWrap/>
            <w:vAlign w:val="center"/>
          </w:tcPr>
          <w:p w:rsidR="00826C37" w:rsidRPr="00E52D2E" w:rsidRDefault="00D07CA9" w:rsidP="00D07CA9">
            <w:pPr>
              <w:jc w:val="center"/>
              <w:rPr>
                <w:rFonts w:ascii="Arial" w:hAnsi="Arial" w:cs="Arial"/>
                <w:color w:val="000000"/>
                <w:sz w:val="20"/>
                <w:szCs w:val="20"/>
              </w:rPr>
            </w:pPr>
            <w:r w:rsidRPr="00E52D2E">
              <w:rPr>
                <w:rFonts w:ascii="Arial" w:hAnsi="Arial" w:cs="Arial"/>
                <w:color w:val="000000"/>
                <w:sz w:val="20"/>
                <w:szCs w:val="20"/>
              </w:rPr>
              <w:t>176 732</w:t>
            </w:r>
          </w:p>
        </w:tc>
        <w:tc>
          <w:tcPr>
            <w:tcW w:w="2069" w:type="dxa"/>
            <w:tcBorders>
              <w:left w:val="nil"/>
            </w:tcBorders>
            <w:noWrap/>
            <w:vAlign w:val="center"/>
          </w:tcPr>
          <w:p w:rsidR="00826C37" w:rsidRPr="00E52D2E" w:rsidRDefault="00D07CA9" w:rsidP="00D07CA9">
            <w:pPr>
              <w:jc w:val="center"/>
              <w:rPr>
                <w:rFonts w:ascii="Arial" w:hAnsi="Arial" w:cs="Arial"/>
                <w:color w:val="000000"/>
                <w:sz w:val="20"/>
                <w:szCs w:val="20"/>
              </w:rPr>
            </w:pPr>
            <w:r w:rsidRPr="00E52D2E">
              <w:rPr>
                <w:rFonts w:ascii="Arial" w:hAnsi="Arial" w:cs="Arial"/>
                <w:color w:val="000000"/>
                <w:sz w:val="20"/>
                <w:szCs w:val="20"/>
              </w:rPr>
              <w:t>4 331</w:t>
            </w:r>
          </w:p>
        </w:tc>
      </w:tr>
      <w:tr w:rsidR="00C51F05" w:rsidRPr="00082B6E" w:rsidTr="00B4263D">
        <w:trPr>
          <w:trHeight w:val="315"/>
          <w:jc w:val="center"/>
        </w:trPr>
        <w:tc>
          <w:tcPr>
            <w:tcW w:w="2180" w:type="dxa"/>
            <w:tcBorders>
              <w:right w:val="nil"/>
            </w:tcBorders>
            <w:noWrap/>
            <w:vAlign w:val="center"/>
          </w:tcPr>
          <w:p w:rsidR="00C51F05" w:rsidRPr="00082B6E" w:rsidRDefault="00C51F05" w:rsidP="00C51F05">
            <w:pPr>
              <w:rPr>
                <w:rFonts w:ascii="Arial" w:hAnsi="Arial" w:cs="Arial"/>
                <w:sz w:val="20"/>
                <w:szCs w:val="20"/>
              </w:rPr>
            </w:pPr>
            <w:r w:rsidRPr="00082B6E">
              <w:rPr>
                <w:rFonts w:ascii="Arial" w:hAnsi="Arial" w:cs="Arial"/>
                <w:sz w:val="20"/>
                <w:szCs w:val="20"/>
              </w:rPr>
              <w:t>Электроэнергия</w:t>
            </w:r>
          </w:p>
        </w:tc>
        <w:tc>
          <w:tcPr>
            <w:tcW w:w="1380" w:type="dxa"/>
            <w:tcBorders>
              <w:left w:val="nil"/>
              <w:right w:val="nil"/>
            </w:tcBorders>
            <w:noWrap/>
            <w:vAlign w:val="center"/>
          </w:tcPr>
          <w:p w:rsidR="00C51F05" w:rsidRPr="00082B6E" w:rsidRDefault="00C51F05" w:rsidP="00C51F05">
            <w:pPr>
              <w:jc w:val="center"/>
              <w:rPr>
                <w:rFonts w:ascii="Arial" w:hAnsi="Arial" w:cs="Arial"/>
                <w:sz w:val="20"/>
                <w:szCs w:val="20"/>
              </w:rPr>
            </w:pPr>
            <w:r w:rsidRPr="00082B6E">
              <w:rPr>
                <w:rFonts w:ascii="Arial" w:hAnsi="Arial" w:cs="Arial"/>
                <w:sz w:val="20"/>
                <w:szCs w:val="20"/>
              </w:rPr>
              <w:t>тыс. кВт-ч</w:t>
            </w:r>
          </w:p>
        </w:tc>
        <w:tc>
          <w:tcPr>
            <w:tcW w:w="1720" w:type="dxa"/>
            <w:tcBorders>
              <w:left w:val="nil"/>
              <w:right w:val="nil"/>
            </w:tcBorders>
            <w:noWrap/>
          </w:tcPr>
          <w:p w:rsidR="00C51F05" w:rsidRPr="00E52D2E" w:rsidRDefault="00C51F05" w:rsidP="00C51F05">
            <w:pPr>
              <w:jc w:val="center"/>
              <w:rPr>
                <w:rFonts w:ascii="Arial" w:hAnsi="Arial" w:cs="Arial"/>
                <w:color w:val="000000"/>
                <w:sz w:val="20"/>
                <w:szCs w:val="20"/>
              </w:rPr>
            </w:pPr>
            <w:r w:rsidRPr="00E52D2E">
              <w:rPr>
                <w:rFonts w:ascii="Arial" w:hAnsi="Arial" w:cs="Arial"/>
                <w:sz w:val="20"/>
                <w:szCs w:val="20"/>
              </w:rPr>
              <w:t>1 825</w:t>
            </w:r>
          </w:p>
        </w:tc>
        <w:tc>
          <w:tcPr>
            <w:tcW w:w="2069" w:type="dxa"/>
            <w:tcBorders>
              <w:left w:val="nil"/>
            </w:tcBorders>
            <w:noWrap/>
          </w:tcPr>
          <w:p w:rsidR="00C51F05" w:rsidRPr="00E52D2E" w:rsidRDefault="00C51F05" w:rsidP="00C51F05">
            <w:pPr>
              <w:jc w:val="center"/>
              <w:rPr>
                <w:rFonts w:ascii="Arial" w:hAnsi="Arial" w:cs="Arial"/>
                <w:color w:val="000000"/>
                <w:sz w:val="20"/>
                <w:szCs w:val="20"/>
              </w:rPr>
            </w:pPr>
            <w:r w:rsidRPr="00E52D2E">
              <w:rPr>
                <w:rFonts w:ascii="Arial" w:hAnsi="Arial" w:cs="Arial"/>
                <w:sz w:val="20"/>
                <w:szCs w:val="20"/>
              </w:rPr>
              <w:t>10 991</w:t>
            </w:r>
          </w:p>
        </w:tc>
      </w:tr>
      <w:tr w:rsidR="00DA4354" w:rsidRPr="00082B6E" w:rsidTr="006C6345">
        <w:trPr>
          <w:trHeight w:val="330"/>
          <w:jc w:val="center"/>
        </w:trPr>
        <w:tc>
          <w:tcPr>
            <w:tcW w:w="2180" w:type="dxa"/>
            <w:tcBorders>
              <w:top w:val="single" w:sz="4" w:space="0" w:color="auto"/>
              <w:bottom w:val="single" w:sz="4" w:space="0" w:color="auto"/>
              <w:right w:val="nil"/>
            </w:tcBorders>
            <w:noWrap/>
            <w:vAlign w:val="center"/>
          </w:tcPr>
          <w:p w:rsidR="00DA4354" w:rsidRPr="00082B6E" w:rsidRDefault="00DA4354" w:rsidP="006C6345">
            <w:pPr>
              <w:rPr>
                <w:rFonts w:ascii="Arial" w:hAnsi="Arial" w:cs="Arial"/>
                <w:b/>
                <w:bCs/>
                <w:sz w:val="20"/>
                <w:szCs w:val="20"/>
              </w:rPr>
            </w:pPr>
            <w:r w:rsidRPr="00082B6E">
              <w:rPr>
                <w:rFonts w:ascii="Arial" w:hAnsi="Arial" w:cs="Arial"/>
                <w:b/>
                <w:bCs/>
                <w:sz w:val="20"/>
                <w:szCs w:val="20"/>
              </w:rPr>
              <w:t>Итого</w:t>
            </w:r>
          </w:p>
        </w:tc>
        <w:tc>
          <w:tcPr>
            <w:tcW w:w="1380" w:type="dxa"/>
            <w:tcBorders>
              <w:top w:val="single" w:sz="4" w:space="0" w:color="auto"/>
              <w:left w:val="nil"/>
              <w:bottom w:val="single" w:sz="4" w:space="0" w:color="auto"/>
              <w:right w:val="nil"/>
            </w:tcBorders>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w:t>
            </w:r>
          </w:p>
        </w:tc>
        <w:tc>
          <w:tcPr>
            <w:tcW w:w="1720" w:type="dxa"/>
            <w:tcBorders>
              <w:top w:val="single" w:sz="4" w:space="0" w:color="auto"/>
              <w:left w:val="nil"/>
              <w:bottom w:val="single" w:sz="4" w:space="0" w:color="auto"/>
              <w:right w:val="nil"/>
            </w:tcBorders>
            <w:noWrap/>
            <w:vAlign w:val="center"/>
          </w:tcPr>
          <w:p w:rsidR="00DA4354" w:rsidRPr="00082B6E" w:rsidRDefault="00DA4354" w:rsidP="006C6345">
            <w:pPr>
              <w:jc w:val="center"/>
              <w:rPr>
                <w:rFonts w:ascii="Arial" w:hAnsi="Arial" w:cs="Arial"/>
                <w:b/>
                <w:sz w:val="20"/>
                <w:szCs w:val="20"/>
              </w:rPr>
            </w:pPr>
            <w:r w:rsidRPr="00082B6E">
              <w:rPr>
                <w:rFonts w:ascii="Arial" w:hAnsi="Arial" w:cs="Arial"/>
                <w:b/>
                <w:sz w:val="20"/>
                <w:szCs w:val="20"/>
              </w:rPr>
              <w:t>-</w:t>
            </w:r>
          </w:p>
        </w:tc>
        <w:tc>
          <w:tcPr>
            <w:tcW w:w="2069" w:type="dxa"/>
            <w:tcBorders>
              <w:top w:val="single" w:sz="4" w:space="0" w:color="auto"/>
              <w:left w:val="nil"/>
              <w:bottom w:val="single" w:sz="4" w:space="0" w:color="auto"/>
            </w:tcBorders>
            <w:noWrap/>
            <w:vAlign w:val="center"/>
          </w:tcPr>
          <w:p w:rsidR="00DA4354" w:rsidRPr="00E52D2E" w:rsidRDefault="00E52D2E" w:rsidP="00E52D2E">
            <w:pPr>
              <w:jc w:val="center"/>
              <w:rPr>
                <w:rFonts w:ascii="Arial" w:hAnsi="Arial" w:cs="Arial"/>
                <w:b/>
                <w:bCs/>
                <w:color w:val="000000"/>
                <w:sz w:val="20"/>
                <w:szCs w:val="20"/>
              </w:rPr>
            </w:pPr>
            <w:r w:rsidRPr="00E52D2E">
              <w:rPr>
                <w:rFonts w:ascii="Arial" w:hAnsi="Arial" w:cs="Arial"/>
                <w:b/>
                <w:bCs/>
                <w:color w:val="000000"/>
                <w:sz w:val="20"/>
                <w:szCs w:val="20"/>
              </w:rPr>
              <w:t>8 896 767</w:t>
            </w:r>
          </w:p>
        </w:tc>
      </w:tr>
    </w:tbl>
    <w:p w:rsidR="00DA4354" w:rsidRPr="000720EF" w:rsidRDefault="00DA4354" w:rsidP="00DA4354">
      <w:pPr>
        <w:pStyle w:val="a5"/>
        <w:ind w:firstLine="0"/>
        <w:rPr>
          <w:rFonts w:ascii="Arial" w:hAnsi="Arial" w:cs="Arial"/>
          <w:bCs/>
          <w:szCs w:val="22"/>
        </w:rPr>
      </w:pPr>
      <w:r w:rsidRPr="000720EF">
        <w:rPr>
          <w:rFonts w:ascii="Arial" w:hAnsi="Arial" w:cs="Arial"/>
          <w:bCs/>
          <w:szCs w:val="22"/>
        </w:rPr>
        <w:tab/>
      </w:r>
      <w:r w:rsidR="009342D4" w:rsidRPr="000720EF">
        <w:rPr>
          <w:rFonts w:ascii="Arial" w:hAnsi="Arial" w:cs="Arial"/>
          <w:bCs/>
          <w:szCs w:val="22"/>
        </w:rPr>
        <w:t>Основную часть э</w:t>
      </w:r>
      <w:r w:rsidRPr="000720EF">
        <w:rPr>
          <w:rFonts w:ascii="Arial" w:hAnsi="Arial" w:cs="Arial"/>
          <w:bCs/>
          <w:szCs w:val="22"/>
        </w:rPr>
        <w:t>лектроэнерги</w:t>
      </w:r>
      <w:r w:rsidR="009342D4" w:rsidRPr="000720EF">
        <w:rPr>
          <w:rFonts w:ascii="Arial" w:hAnsi="Arial" w:cs="Arial"/>
          <w:bCs/>
          <w:szCs w:val="22"/>
        </w:rPr>
        <w:t>и</w:t>
      </w:r>
      <w:r w:rsidRPr="000720EF">
        <w:rPr>
          <w:rFonts w:ascii="Arial" w:hAnsi="Arial" w:cs="Arial"/>
          <w:bCs/>
          <w:szCs w:val="22"/>
        </w:rPr>
        <w:t xml:space="preserve"> и теплоэнергию для собственного потребления ПАО «КМЗ» вырабатывает самостоятельно.</w:t>
      </w:r>
    </w:p>
    <w:p w:rsidR="008776E7" w:rsidRPr="008776E7" w:rsidRDefault="008776E7" w:rsidP="00DD0E6F">
      <w:pPr>
        <w:pStyle w:val="1"/>
        <w:spacing w:before="240" w:after="240"/>
        <w:rPr>
          <w:rFonts w:ascii="Arial" w:hAnsi="Arial" w:cs="Arial"/>
          <w:sz w:val="32"/>
        </w:rPr>
      </w:pPr>
      <w:bookmarkStart w:id="33" w:name="_Toc415487679"/>
      <w:bookmarkStart w:id="34" w:name="_Toc479938261"/>
      <w:bookmarkStart w:id="35" w:name="_Toc100678748"/>
      <w:r w:rsidRPr="00545C7B">
        <w:rPr>
          <w:rFonts w:ascii="Arial" w:hAnsi="Arial" w:cs="Arial"/>
          <w:sz w:val="32"/>
        </w:rPr>
        <w:t>Основные задачи и перспективы развития Общества</w:t>
      </w:r>
      <w:bookmarkEnd w:id="33"/>
      <w:bookmarkEnd w:id="34"/>
      <w:bookmarkEnd w:id="35"/>
    </w:p>
    <w:p w:rsidR="00383E22" w:rsidRPr="00436768" w:rsidRDefault="00383E22" w:rsidP="00383E22">
      <w:pPr>
        <w:ind w:firstLine="709"/>
        <w:jc w:val="both"/>
        <w:rPr>
          <w:rFonts w:ascii="Arial" w:hAnsi="Arial" w:cs="Arial"/>
        </w:rPr>
      </w:pPr>
      <w:r w:rsidRPr="00436768">
        <w:rPr>
          <w:rFonts w:ascii="Arial" w:hAnsi="Arial" w:cs="Arial"/>
        </w:rPr>
        <w:t>В 20</w:t>
      </w:r>
      <w:r>
        <w:rPr>
          <w:rFonts w:ascii="Arial" w:hAnsi="Arial" w:cs="Arial"/>
        </w:rPr>
        <w:t>21</w:t>
      </w:r>
      <w:r w:rsidRPr="00436768">
        <w:rPr>
          <w:rFonts w:ascii="Arial" w:hAnsi="Arial" w:cs="Arial"/>
        </w:rPr>
        <w:t xml:space="preserve"> году на ПАО «КМЗ» проведено большое количество мероприятий по капитальным ремонтам в соответствии с намеченной программой развития завода.</w:t>
      </w:r>
    </w:p>
    <w:p w:rsidR="00383E22" w:rsidRPr="00635EAE" w:rsidRDefault="00383E22" w:rsidP="00383E22">
      <w:pPr>
        <w:spacing w:before="120" w:after="120"/>
        <w:ind w:firstLine="709"/>
        <w:jc w:val="both"/>
        <w:rPr>
          <w:rFonts w:ascii="Arial" w:hAnsi="Arial" w:cs="Arial"/>
        </w:rPr>
      </w:pPr>
      <w:r w:rsidRPr="00436768">
        <w:rPr>
          <w:rFonts w:ascii="Arial" w:hAnsi="Arial" w:cs="Arial"/>
        </w:rPr>
        <w:t xml:space="preserve">Общий объем затрат на капитальные ремонты, капитальное строительство </w:t>
      </w:r>
      <w:r w:rsidRPr="00635EAE">
        <w:rPr>
          <w:rFonts w:ascii="Arial" w:hAnsi="Arial" w:cs="Arial"/>
        </w:rPr>
        <w:t>и инвестиции в развитие производства в 20</w:t>
      </w:r>
      <w:r>
        <w:rPr>
          <w:rFonts w:ascii="Arial" w:hAnsi="Arial" w:cs="Arial"/>
        </w:rPr>
        <w:t>21</w:t>
      </w:r>
      <w:r w:rsidRPr="00635EAE">
        <w:rPr>
          <w:rFonts w:ascii="Arial" w:hAnsi="Arial" w:cs="Arial"/>
        </w:rPr>
        <w:t xml:space="preserve"> году составил </w:t>
      </w:r>
      <w:r w:rsidR="0048705D">
        <w:rPr>
          <w:rFonts w:ascii="Arial" w:hAnsi="Arial" w:cs="Arial"/>
        </w:rPr>
        <w:t>590</w:t>
      </w:r>
      <w:r w:rsidR="00545C7B">
        <w:rPr>
          <w:rFonts w:ascii="Arial" w:hAnsi="Arial" w:cs="Arial"/>
        </w:rPr>
        <w:t>,</w:t>
      </w:r>
      <w:r w:rsidR="0048705D">
        <w:rPr>
          <w:rFonts w:ascii="Arial" w:hAnsi="Arial" w:cs="Arial"/>
        </w:rPr>
        <w:t>89</w:t>
      </w:r>
      <w:r w:rsidRPr="00635EAE">
        <w:rPr>
          <w:rFonts w:ascii="Arial" w:hAnsi="Arial" w:cs="Arial"/>
        </w:rPr>
        <w:t xml:space="preserve"> млн. руб. с НДС, в том числе:</w:t>
      </w: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410"/>
      </w:tblGrid>
      <w:tr w:rsidR="00383E22" w:rsidRPr="00E213B1" w:rsidTr="00184DFB">
        <w:tc>
          <w:tcPr>
            <w:tcW w:w="6237" w:type="dxa"/>
            <w:vAlign w:val="center"/>
          </w:tcPr>
          <w:p w:rsidR="00383E22" w:rsidRPr="006849A8" w:rsidRDefault="00383E22" w:rsidP="00184DFB">
            <w:pPr>
              <w:spacing w:before="120" w:after="120"/>
              <w:rPr>
                <w:rFonts w:ascii="Arial" w:hAnsi="Arial" w:cs="Arial"/>
              </w:rPr>
            </w:pPr>
            <w:r>
              <w:rPr>
                <w:rFonts w:ascii="Arial" w:hAnsi="Arial" w:cs="Arial"/>
              </w:rPr>
              <w:t xml:space="preserve">- </w:t>
            </w:r>
            <w:r w:rsidRPr="006849A8">
              <w:rPr>
                <w:rFonts w:ascii="Arial" w:hAnsi="Arial" w:cs="Arial"/>
              </w:rPr>
              <w:t>затраты по доменному цеху (ремонты доменных печей, воздухонагревателей, разливочных машин и пр.)</w:t>
            </w:r>
          </w:p>
        </w:tc>
        <w:tc>
          <w:tcPr>
            <w:tcW w:w="2410" w:type="dxa"/>
            <w:vAlign w:val="center"/>
          </w:tcPr>
          <w:p w:rsidR="00383E22" w:rsidRPr="006849A8" w:rsidRDefault="00383E22" w:rsidP="00545C7B">
            <w:pPr>
              <w:spacing w:before="120" w:after="120"/>
              <w:rPr>
                <w:rFonts w:ascii="Arial" w:hAnsi="Arial" w:cs="Arial"/>
              </w:rPr>
            </w:pPr>
            <w:r w:rsidRPr="006849A8">
              <w:rPr>
                <w:rFonts w:ascii="Arial" w:hAnsi="Arial" w:cs="Arial"/>
              </w:rPr>
              <w:t xml:space="preserve">- </w:t>
            </w:r>
            <w:r w:rsidR="00545C7B">
              <w:rPr>
                <w:rFonts w:ascii="Arial" w:hAnsi="Arial" w:cs="Arial"/>
              </w:rPr>
              <w:t>422,49</w:t>
            </w:r>
            <w:r w:rsidRPr="006849A8">
              <w:rPr>
                <w:rFonts w:ascii="Arial" w:hAnsi="Arial" w:cs="Arial"/>
              </w:rPr>
              <w:t xml:space="preserve"> млн. руб.;</w:t>
            </w:r>
          </w:p>
        </w:tc>
      </w:tr>
      <w:tr w:rsidR="00383E22" w:rsidRPr="00E213B1" w:rsidTr="00184DFB">
        <w:tc>
          <w:tcPr>
            <w:tcW w:w="6237" w:type="dxa"/>
            <w:vAlign w:val="center"/>
          </w:tcPr>
          <w:p w:rsidR="00383E22" w:rsidRPr="006849A8" w:rsidRDefault="00383E22" w:rsidP="00184DFB">
            <w:pPr>
              <w:spacing w:before="120" w:after="120"/>
              <w:rPr>
                <w:rFonts w:ascii="Arial" w:hAnsi="Arial" w:cs="Arial"/>
              </w:rPr>
            </w:pPr>
            <w:r>
              <w:rPr>
                <w:rFonts w:ascii="Arial" w:hAnsi="Arial" w:cs="Arial"/>
              </w:rPr>
              <w:t xml:space="preserve">- </w:t>
            </w:r>
            <w:r w:rsidRPr="006849A8">
              <w:rPr>
                <w:rFonts w:ascii="Arial" w:hAnsi="Arial" w:cs="Arial"/>
              </w:rPr>
              <w:t>затраты по ТЭЦ-ПВС (ремонт котлоагрегатов БКЗ, турбогенератора)</w:t>
            </w:r>
          </w:p>
        </w:tc>
        <w:tc>
          <w:tcPr>
            <w:tcW w:w="2410" w:type="dxa"/>
            <w:vAlign w:val="center"/>
          </w:tcPr>
          <w:p w:rsidR="00383E22" w:rsidRPr="006849A8" w:rsidRDefault="00383E22" w:rsidP="00545C7B">
            <w:pPr>
              <w:spacing w:before="120" w:after="120"/>
              <w:rPr>
                <w:rFonts w:ascii="Arial" w:hAnsi="Arial" w:cs="Arial"/>
              </w:rPr>
            </w:pPr>
            <w:r w:rsidRPr="006849A8">
              <w:rPr>
                <w:rFonts w:ascii="Arial" w:hAnsi="Arial" w:cs="Arial"/>
              </w:rPr>
              <w:t xml:space="preserve">- </w:t>
            </w:r>
            <w:r w:rsidR="00545C7B">
              <w:rPr>
                <w:rFonts w:ascii="Arial" w:hAnsi="Arial" w:cs="Arial"/>
              </w:rPr>
              <w:t>59,06</w:t>
            </w:r>
            <w:r w:rsidRPr="006849A8">
              <w:rPr>
                <w:rFonts w:ascii="Arial" w:hAnsi="Arial" w:cs="Arial"/>
              </w:rPr>
              <w:t xml:space="preserve"> млн. руб.;</w:t>
            </w:r>
          </w:p>
        </w:tc>
      </w:tr>
      <w:tr w:rsidR="00383E22" w:rsidRPr="00E213B1" w:rsidTr="00184DFB">
        <w:tc>
          <w:tcPr>
            <w:tcW w:w="6237" w:type="dxa"/>
            <w:vAlign w:val="center"/>
          </w:tcPr>
          <w:p w:rsidR="00545C7B" w:rsidRPr="006849A8" w:rsidRDefault="00383E22" w:rsidP="00184DFB">
            <w:pPr>
              <w:spacing w:before="120" w:after="120"/>
              <w:rPr>
                <w:rFonts w:ascii="Arial" w:hAnsi="Arial" w:cs="Arial"/>
              </w:rPr>
            </w:pPr>
            <w:r>
              <w:rPr>
                <w:rFonts w:ascii="Arial" w:hAnsi="Arial" w:cs="Arial"/>
              </w:rPr>
              <w:t xml:space="preserve">- </w:t>
            </w:r>
            <w:r w:rsidRPr="006849A8">
              <w:rPr>
                <w:rFonts w:ascii="Arial" w:hAnsi="Arial" w:cs="Arial"/>
              </w:rPr>
              <w:t>затраты по железнодорожному цеху (ремонт путей, тепловозов и пр.)</w:t>
            </w:r>
          </w:p>
        </w:tc>
        <w:tc>
          <w:tcPr>
            <w:tcW w:w="2410" w:type="dxa"/>
            <w:vAlign w:val="center"/>
          </w:tcPr>
          <w:p w:rsidR="00383E22" w:rsidRPr="006849A8" w:rsidRDefault="00383E22" w:rsidP="0048705D">
            <w:pPr>
              <w:spacing w:before="120" w:after="120"/>
              <w:rPr>
                <w:rFonts w:ascii="Arial" w:hAnsi="Arial" w:cs="Arial"/>
              </w:rPr>
            </w:pPr>
            <w:r w:rsidRPr="006849A8">
              <w:rPr>
                <w:rFonts w:ascii="Arial" w:hAnsi="Arial" w:cs="Arial"/>
              </w:rPr>
              <w:t xml:space="preserve">- </w:t>
            </w:r>
            <w:r w:rsidR="0048705D">
              <w:rPr>
                <w:rFonts w:ascii="Arial" w:hAnsi="Arial" w:cs="Arial"/>
              </w:rPr>
              <w:t>43</w:t>
            </w:r>
            <w:r w:rsidR="00545C7B">
              <w:rPr>
                <w:rFonts w:ascii="Arial" w:hAnsi="Arial" w:cs="Arial"/>
              </w:rPr>
              <w:t>,</w:t>
            </w:r>
            <w:r w:rsidR="0048705D">
              <w:rPr>
                <w:rFonts w:ascii="Arial" w:hAnsi="Arial" w:cs="Arial"/>
              </w:rPr>
              <w:t>27</w:t>
            </w:r>
            <w:r w:rsidRPr="006849A8">
              <w:rPr>
                <w:rFonts w:ascii="Arial" w:hAnsi="Arial" w:cs="Arial"/>
              </w:rPr>
              <w:t xml:space="preserve"> млн. руб.</w:t>
            </w:r>
          </w:p>
        </w:tc>
      </w:tr>
      <w:tr w:rsidR="00916E58" w:rsidRPr="00E213B1" w:rsidTr="00184DFB">
        <w:tc>
          <w:tcPr>
            <w:tcW w:w="6237" w:type="dxa"/>
            <w:vAlign w:val="center"/>
          </w:tcPr>
          <w:p w:rsidR="00916E58" w:rsidRDefault="00916E58" w:rsidP="0048705D">
            <w:pPr>
              <w:spacing w:before="120" w:after="120"/>
              <w:rPr>
                <w:rFonts w:ascii="Arial" w:hAnsi="Arial" w:cs="Arial"/>
              </w:rPr>
            </w:pPr>
            <w:r>
              <w:rPr>
                <w:rFonts w:ascii="Arial" w:hAnsi="Arial" w:cs="Arial"/>
              </w:rPr>
              <w:t xml:space="preserve">приобретение автотранспортных средств и </w:t>
            </w:r>
            <w:r w:rsidR="0048705D">
              <w:rPr>
                <w:rFonts w:ascii="Arial" w:hAnsi="Arial" w:cs="Arial"/>
              </w:rPr>
              <w:t>техники</w:t>
            </w:r>
          </w:p>
        </w:tc>
        <w:tc>
          <w:tcPr>
            <w:tcW w:w="2410" w:type="dxa"/>
            <w:vAlign w:val="center"/>
          </w:tcPr>
          <w:p w:rsidR="00916E58" w:rsidRPr="006849A8" w:rsidRDefault="0048705D" w:rsidP="00545C7B">
            <w:pPr>
              <w:spacing w:before="120" w:after="120"/>
              <w:rPr>
                <w:rFonts w:ascii="Arial" w:hAnsi="Arial" w:cs="Arial"/>
              </w:rPr>
            </w:pPr>
            <w:r w:rsidRPr="006849A8">
              <w:rPr>
                <w:rFonts w:ascii="Arial" w:hAnsi="Arial" w:cs="Arial"/>
              </w:rPr>
              <w:t xml:space="preserve">- </w:t>
            </w:r>
            <w:r>
              <w:rPr>
                <w:rFonts w:ascii="Arial" w:hAnsi="Arial" w:cs="Arial"/>
              </w:rPr>
              <w:t xml:space="preserve">53,09 </w:t>
            </w:r>
            <w:r w:rsidRPr="006849A8">
              <w:rPr>
                <w:rFonts w:ascii="Arial" w:hAnsi="Arial" w:cs="Arial"/>
              </w:rPr>
              <w:t>млн. руб.</w:t>
            </w:r>
          </w:p>
        </w:tc>
      </w:tr>
      <w:tr w:rsidR="00545C7B" w:rsidRPr="00E213B1" w:rsidTr="00184DFB">
        <w:tc>
          <w:tcPr>
            <w:tcW w:w="6237" w:type="dxa"/>
            <w:vAlign w:val="center"/>
          </w:tcPr>
          <w:p w:rsidR="00545C7B" w:rsidRDefault="00545C7B" w:rsidP="008E6DB5">
            <w:pPr>
              <w:spacing w:before="120" w:after="120"/>
              <w:rPr>
                <w:rFonts w:ascii="Arial" w:hAnsi="Arial" w:cs="Arial"/>
              </w:rPr>
            </w:pPr>
            <w:r w:rsidRPr="008E6DB5">
              <w:rPr>
                <w:rFonts w:ascii="Arial" w:hAnsi="Arial" w:cs="Arial"/>
              </w:rPr>
              <w:t xml:space="preserve">-затраты на проведение мероприятий, связанных с </w:t>
            </w:r>
            <w:r w:rsidR="008E6DB5" w:rsidRPr="008E6DB5">
              <w:rPr>
                <w:rFonts w:ascii="Arial" w:hAnsi="Arial" w:cs="Arial"/>
              </w:rPr>
              <w:t xml:space="preserve">с охраной </w:t>
            </w:r>
            <w:r w:rsidR="00F53E62" w:rsidRPr="008E6DB5">
              <w:rPr>
                <w:rFonts w:ascii="Arial" w:hAnsi="Arial" w:cs="Arial"/>
              </w:rPr>
              <w:t>окружающей среды</w:t>
            </w:r>
          </w:p>
        </w:tc>
        <w:tc>
          <w:tcPr>
            <w:tcW w:w="2410" w:type="dxa"/>
            <w:vAlign w:val="center"/>
          </w:tcPr>
          <w:p w:rsidR="00545C7B" w:rsidRPr="006849A8" w:rsidRDefault="00545C7B" w:rsidP="00545C7B">
            <w:pPr>
              <w:spacing w:before="120" w:after="120"/>
              <w:rPr>
                <w:rFonts w:ascii="Arial" w:hAnsi="Arial" w:cs="Arial"/>
              </w:rPr>
            </w:pPr>
            <w:r w:rsidRPr="006849A8">
              <w:rPr>
                <w:rFonts w:ascii="Arial" w:hAnsi="Arial" w:cs="Arial"/>
              </w:rPr>
              <w:t xml:space="preserve">- </w:t>
            </w:r>
            <w:r>
              <w:rPr>
                <w:rFonts w:ascii="Arial" w:hAnsi="Arial" w:cs="Arial"/>
              </w:rPr>
              <w:t>12,98</w:t>
            </w:r>
            <w:r w:rsidRPr="006849A8">
              <w:rPr>
                <w:rFonts w:ascii="Arial" w:hAnsi="Arial" w:cs="Arial"/>
              </w:rPr>
              <w:t xml:space="preserve"> млн. руб.</w:t>
            </w:r>
          </w:p>
        </w:tc>
      </w:tr>
    </w:tbl>
    <w:p w:rsidR="00AB00AF" w:rsidRPr="00444501" w:rsidRDefault="00AB00AF" w:rsidP="00AB00AF">
      <w:pPr>
        <w:ind w:firstLine="708"/>
        <w:rPr>
          <w:rFonts w:ascii="Arial" w:hAnsi="Arial" w:cs="Arial"/>
          <w:b/>
          <w:i/>
          <w:u w:val="single"/>
        </w:rPr>
      </w:pPr>
      <w:r>
        <w:rPr>
          <w:rFonts w:ascii="Arial" w:hAnsi="Arial" w:cs="Arial"/>
          <w:b/>
          <w:i/>
          <w:u w:val="single"/>
        </w:rPr>
        <w:t>В</w:t>
      </w:r>
      <w:r w:rsidRPr="00444501">
        <w:rPr>
          <w:rFonts w:ascii="Arial" w:hAnsi="Arial" w:cs="Arial"/>
          <w:b/>
          <w:i/>
          <w:u w:val="single"/>
        </w:rPr>
        <w:t xml:space="preserve"> доменном цех</w:t>
      </w:r>
      <w:r>
        <w:rPr>
          <w:rFonts w:ascii="Arial" w:hAnsi="Arial" w:cs="Arial"/>
          <w:b/>
          <w:i/>
          <w:u w:val="single"/>
        </w:rPr>
        <w:t>е</w:t>
      </w:r>
      <w:r w:rsidRPr="00444501">
        <w:rPr>
          <w:rFonts w:ascii="Arial" w:hAnsi="Arial" w:cs="Arial"/>
          <w:b/>
          <w:i/>
          <w:u w:val="single"/>
        </w:rPr>
        <w:t>:</w:t>
      </w:r>
    </w:p>
    <w:p w:rsidR="0035544A" w:rsidRDefault="0035544A" w:rsidP="0035544A">
      <w:pPr>
        <w:ind w:firstLine="708"/>
        <w:rPr>
          <w:rFonts w:ascii="Arial" w:hAnsi="Arial" w:cs="Arial"/>
          <w:sz w:val="22"/>
          <w:szCs w:val="22"/>
        </w:rPr>
      </w:pPr>
      <w:r>
        <w:rPr>
          <w:rFonts w:ascii="Arial" w:hAnsi="Arial" w:cs="Arial"/>
        </w:rPr>
        <w:t>- выполнена подготовка к пуску ДП№1;</w:t>
      </w:r>
    </w:p>
    <w:p w:rsidR="0035544A" w:rsidRDefault="0035544A" w:rsidP="0035544A">
      <w:pPr>
        <w:ind w:firstLine="708"/>
        <w:rPr>
          <w:rFonts w:ascii="Arial" w:hAnsi="Arial" w:cs="Arial"/>
        </w:rPr>
      </w:pPr>
      <w:r>
        <w:rPr>
          <w:rFonts w:ascii="Arial" w:hAnsi="Arial" w:cs="Arial"/>
        </w:rPr>
        <w:t>- смонтирован соединительный газопровод газоочисток ДП №1 и ДП №3;</w:t>
      </w:r>
    </w:p>
    <w:p w:rsidR="0035544A" w:rsidRDefault="0035544A" w:rsidP="0035544A">
      <w:pPr>
        <w:ind w:firstLine="708"/>
        <w:rPr>
          <w:rFonts w:ascii="Arial" w:hAnsi="Arial" w:cs="Arial"/>
        </w:rPr>
      </w:pPr>
      <w:r>
        <w:rPr>
          <w:rFonts w:ascii="Arial" w:hAnsi="Arial" w:cs="Arial"/>
        </w:rPr>
        <w:t xml:space="preserve">- начата подготовка к ремонту </w:t>
      </w:r>
      <w:r>
        <w:rPr>
          <w:rFonts w:ascii="Arial" w:hAnsi="Arial" w:cs="Arial"/>
          <w:lang w:val="en-US"/>
        </w:rPr>
        <w:t>II</w:t>
      </w:r>
      <w:r>
        <w:rPr>
          <w:rFonts w:ascii="Arial" w:hAnsi="Arial" w:cs="Arial"/>
        </w:rPr>
        <w:t>-го разряда ДП-3;</w:t>
      </w:r>
    </w:p>
    <w:p w:rsidR="0035544A" w:rsidRDefault="0035544A" w:rsidP="0035544A">
      <w:pPr>
        <w:ind w:firstLine="708"/>
        <w:rPr>
          <w:rFonts w:ascii="Arial" w:hAnsi="Arial" w:cs="Arial"/>
        </w:rPr>
      </w:pPr>
      <w:r>
        <w:rPr>
          <w:rFonts w:ascii="Arial" w:hAnsi="Arial" w:cs="Arial"/>
        </w:rPr>
        <w:t xml:space="preserve">- капитальный ремонт </w:t>
      </w:r>
      <w:r>
        <w:rPr>
          <w:rFonts w:ascii="Arial" w:hAnsi="Arial" w:cs="Arial"/>
          <w:lang w:val="en-US"/>
        </w:rPr>
        <w:t>II</w:t>
      </w:r>
      <w:r>
        <w:rPr>
          <w:rFonts w:ascii="Arial" w:hAnsi="Arial" w:cs="Arial"/>
        </w:rPr>
        <w:t>-го разряда ВН-9 начат в текущем году, завершение запланировано в 2022г.;</w:t>
      </w:r>
    </w:p>
    <w:p w:rsidR="0035544A" w:rsidRDefault="0035544A" w:rsidP="0035544A">
      <w:pPr>
        <w:ind w:firstLine="708"/>
        <w:rPr>
          <w:rFonts w:ascii="Arial" w:hAnsi="Arial" w:cs="Arial"/>
        </w:rPr>
      </w:pPr>
      <w:r>
        <w:rPr>
          <w:rFonts w:ascii="Arial" w:hAnsi="Arial" w:cs="Arial"/>
        </w:rPr>
        <w:t>- капитальный ремонт II разряда ВН №4 ДП №1 завершен в текущем году, начат в 2020г.;</w:t>
      </w:r>
    </w:p>
    <w:p w:rsidR="0035544A" w:rsidRDefault="0035544A" w:rsidP="0035544A">
      <w:pPr>
        <w:ind w:firstLine="708"/>
        <w:rPr>
          <w:rFonts w:ascii="Arial" w:hAnsi="Arial" w:cs="Arial"/>
        </w:rPr>
      </w:pPr>
      <w:r>
        <w:rPr>
          <w:rFonts w:ascii="Arial" w:hAnsi="Arial" w:cs="Arial"/>
        </w:rPr>
        <w:t>- начата подготовка к строительству блока ВНК (комплекс ДП№ 2);</w:t>
      </w:r>
    </w:p>
    <w:p w:rsidR="0035544A" w:rsidRDefault="0035544A" w:rsidP="0035544A">
      <w:pPr>
        <w:ind w:firstLine="708"/>
        <w:rPr>
          <w:rFonts w:ascii="Arial" w:hAnsi="Arial" w:cs="Arial"/>
        </w:rPr>
      </w:pPr>
      <w:r>
        <w:rPr>
          <w:rFonts w:ascii="Arial" w:hAnsi="Arial" w:cs="Arial"/>
        </w:rPr>
        <w:t xml:space="preserve">- начата подготовка к капитальному ремонту </w:t>
      </w:r>
      <w:r>
        <w:rPr>
          <w:rFonts w:ascii="Arial" w:hAnsi="Arial" w:cs="Arial"/>
          <w:lang w:val="en-US"/>
        </w:rPr>
        <w:t>I</w:t>
      </w:r>
      <w:r>
        <w:rPr>
          <w:rFonts w:ascii="Arial" w:hAnsi="Arial" w:cs="Arial"/>
        </w:rPr>
        <w:t xml:space="preserve">-го разряда ДП-2; </w:t>
      </w:r>
    </w:p>
    <w:p w:rsidR="0035544A" w:rsidRDefault="0035544A" w:rsidP="0035544A">
      <w:pPr>
        <w:ind w:firstLine="708"/>
        <w:rPr>
          <w:rFonts w:ascii="Arial" w:hAnsi="Arial" w:cs="Arial"/>
        </w:rPr>
      </w:pPr>
      <w:r>
        <w:rPr>
          <w:rFonts w:ascii="Arial" w:hAnsi="Arial" w:cs="Arial"/>
        </w:rPr>
        <w:t>-  замена троллей грузовой тележки рудного перегружателя №2 доменного цеха;</w:t>
      </w:r>
    </w:p>
    <w:p w:rsidR="0035544A" w:rsidRDefault="0035544A" w:rsidP="0035544A">
      <w:pPr>
        <w:ind w:firstLine="708"/>
        <w:rPr>
          <w:rFonts w:ascii="Arial" w:hAnsi="Arial" w:cs="Arial"/>
        </w:rPr>
      </w:pPr>
      <w:r>
        <w:rPr>
          <w:rFonts w:ascii="Arial" w:hAnsi="Arial" w:cs="Arial"/>
        </w:rPr>
        <w:t>- капитальный ремонт трансферкары с заменой колесных пар в доменном цехе;</w:t>
      </w:r>
    </w:p>
    <w:p w:rsidR="0035544A" w:rsidRDefault="0035544A" w:rsidP="0035544A">
      <w:pPr>
        <w:ind w:firstLine="708"/>
        <w:rPr>
          <w:rFonts w:ascii="Arial" w:hAnsi="Arial" w:cs="Arial"/>
        </w:rPr>
      </w:pPr>
      <w:r>
        <w:rPr>
          <w:rFonts w:ascii="Arial" w:hAnsi="Arial" w:cs="Arial"/>
        </w:rPr>
        <w:lastRenderedPageBreak/>
        <w:t>- в стадии завершения капитальный ремонт разливочной машины  №2 доменном цехе со 100% заменой металлоконструкций;</w:t>
      </w:r>
    </w:p>
    <w:p w:rsidR="00AB00AF" w:rsidRDefault="00AB00AF" w:rsidP="00AB00AF">
      <w:pPr>
        <w:ind w:firstLine="708"/>
        <w:rPr>
          <w:rFonts w:ascii="Arial" w:hAnsi="Arial" w:cs="Arial"/>
        </w:rPr>
      </w:pPr>
    </w:p>
    <w:p w:rsidR="00AB00AF" w:rsidRPr="00444501" w:rsidRDefault="00AB00AF" w:rsidP="00AB00AF">
      <w:pPr>
        <w:ind w:firstLine="708"/>
        <w:rPr>
          <w:rFonts w:ascii="Arial" w:hAnsi="Arial" w:cs="Arial"/>
          <w:b/>
          <w:i/>
          <w:u w:val="single"/>
        </w:rPr>
      </w:pPr>
      <w:r>
        <w:rPr>
          <w:rFonts w:ascii="Arial" w:hAnsi="Arial" w:cs="Arial"/>
          <w:b/>
          <w:i/>
          <w:u w:val="single"/>
        </w:rPr>
        <w:t>В</w:t>
      </w:r>
      <w:r w:rsidRPr="00444501">
        <w:rPr>
          <w:rFonts w:ascii="Arial" w:hAnsi="Arial" w:cs="Arial"/>
          <w:b/>
          <w:i/>
          <w:u w:val="single"/>
        </w:rPr>
        <w:t xml:space="preserve"> </w:t>
      </w:r>
      <w:r>
        <w:rPr>
          <w:rFonts w:ascii="Arial" w:hAnsi="Arial" w:cs="Arial"/>
          <w:b/>
          <w:i/>
          <w:u w:val="single"/>
        </w:rPr>
        <w:t>ТЭЦ ПВС</w:t>
      </w:r>
      <w:r w:rsidRPr="00444501">
        <w:rPr>
          <w:rFonts w:ascii="Arial" w:hAnsi="Arial" w:cs="Arial"/>
          <w:b/>
          <w:i/>
          <w:u w:val="single"/>
        </w:rPr>
        <w:t>:</w:t>
      </w:r>
    </w:p>
    <w:p w:rsidR="00BF3EEA" w:rsidRPr="000D3DDF" w:rsidRDefault="00BF3EEA" w:rsidP="00BF3EEA">
      <w:pPr>
        <w:ind w:firstLine="709"/>
        <w:jc w:val="both"/>
        <w:rPr>
          <w:rFonts w:ascii="Arial" w:hAnsi="Arial" w:cs="Arial"/>
        </w:rPr>
      </w:pPr>
      <w:r>
        <w:rPr>
          <w:rFonts w:ascii="Arial" w:hAnsi="Arial" w:cs="Arial"/>
        </w:rPr>
        <w:t>Выполнены:</w:t>
      </w:r>
    </w:p>
    <w:p w:rsidR="00AB00AF" w:rsidRPr="00444501" w:rsidRDefault="00AB00AF" w:rsidP="00AB00AF">
      <w:pPr>
        <w:ind w:firstLine="708"/>
        <w:rPr>
          <w:rFonts w:ascii="Arial" w:hAnsi="Arial" w:cs="Arial"/>
        </w:rPr>
      </w:pPr>
      <w:r w:rsidRPr="00444501">
        <w:rPr>
          <w:rFonts w:ascii="Arial" w:hAnsi="Arial" w:cs="Arial"/>
        </w:rPr>
        <w:t>- капитальный ремонт котла БКЗ 75-39Д №4 электростанции ТЭЦ ПВС;</w:t>
      </w:r>
    </w:p>
    <w:p w:rsidR="00AB00AF" w:rsidRPr="00444501" w:rsidRDefault="00AB00AF" w:rsidP="00AB00AF">
      <w:pPr>
        <w:ind w:firstLine="708"/>
        <w:rPr>
          <w:rFonts w:ascii="Arial" w:hAnsi="Arial" w:cs="Arial"/>
        </w:rPr>
      </w:pPr>
      <w:r w:rsidRPr="00444501">
        <w:rPr>
          <w:rFonts w:ascii="Arial" w:hAnsi="Arial" w:cs="Arial"/>
        </w:rPr>
        <w:t>- капитальный ремонт турбогенератора ТГ №2;</w:t>
      </w:r>
    </w:p>
    <w:p w:rsidR="00AB00AF" w:rsidRPr="00444501" w:rsidRDefault="00AB00AF" w:rsidP="00AB00AF">
      <w:pPr>
        <w:ind w:firstLine="708"/>
        <w:rPr>
          <w:rFonts w:ascii="Arial" w:hAnsi="Arial" w:cs="Arial"/>
        </w:rPr>
      </w:pPr>
      <w:r w:rsidRPr="00444501">
        <w:rPr>
          <w:rFonts w:ascii="Arial" w:hAnsi="Arial" w:cs="Arial"/>
        </w:rPr>
        <w:t>- капитальный ремонт с заменой труб основного бойлера №3 электростанции ТЭЦ ПВС;</w:t>
      </w:r>
    </w:p>
    <w:p w:rsidR="00AB00AF" w:rsidRPr="00444501" w:rsidRDefault="00AB00AF" w:rsidP="00AB00AF">
      <w:pPr>
        <w:ind w:firstLine="708"/>
        <w:rPr>
          <w:rFonts w:ascii="Arial" w:hAnsi="Arial" w:cs="Arial"/>
        </w:rPr>
      </w:pPr>
      <w:r w:rsidRPr="00444501">
        <w:rPr>
          <w:rFonts w:ascii="Arial" w:hAnsi="Arial" w:cs="Arial"/>
        </w:rPr>
        <w:t>- ТО компрессоров (2 шт.) GA160+ азотной станции ТЭЦ ПВС;</w:t>
      </w:r>
    </w:p>
    <w:p w:rsidR="00AB00AF" w:rsidRDefault="00AB00AF" w:rsidP="00AB00AF">
      <w:pPr>
        <w:ind w:firstLine="708"/>
        <w:rPr>
          <w:rFonts w:ascii="Arial" w:hAnsi="Arial" w:cs="Arial"/>
          <w:b/>
          <w:i/>
          <w:u w:val="single"/>
        </w:rPr>
      </w:pPr>
    </w:p>
    <w:p w:rsidR="00AB00AF" w:rsidRPr="00444501" w:rsidRDefault="00AB00AF" w:rsidP="00AB00AF">
      <w:pPr>
        <w:ind w:firstLine="708"/>
        <w:rPr>
          <w:rFonts w:ascii="Arial" w:hAnsi="Arial" w:cs="Arial"/>
        </w:rPr>
      </w:pPr>
      <w:r>
        <w:rPr>
          <w:rFonts w:ascii="Arial" w:hAnsi="Arial" w:cs="Arial"/>
          <w:b/>
          <w:i/>
          <w:u w:val="single"/>
        </w:rPr>
        <w:t>В</w:t>
      </w:r>
      <w:r w:rsidRPr="00444501">
        <w:rPr>
          <w:rFonts w:ascii="Arial" w:hAnsi="Arial" w:cs="Arial"/>
          <w:b/>
          <w:i/>
          <w:u w:val="single"/>
        </w:rPr>
        <w:t xml:space="preserve"> цех</w:t>
      </w:r>
      <w:r>
        <w:rPr>
          <w:rFonts w:ascii="Arial" w:hAnsi="Arial" w:cs="Arial"/>
          <w:b/>
          <w:i/>
          <w:u w:val="single"/>
        </w:rPr>
        <w:t>е ВиК</w:t>
      </w:r>
      <w:r w:rsidRPr="00444501">
        <w:rPr>
          <w:rFonts w:ascii="Arial" w:hAnsi="Arial" w:cs="Arial"/>
          <w:b/>
          <w:i/>
          <w:u w:val="single"/>
        </w:rPr>
        <w:t>:</w:t>
      </w:r>
    </w:p>
    <w:p w:rsidR="003A7543" w:rsidRPr="000D3DDF" w:rsidRDefault="003A7543" w:rsidP="003A7543">
      <w:pPr>
        <w:ind w:firstLine="709"/>
        <w:jc w:val="both"/>
        <w:rPr>
          <w:rFonts w:ascii="Arial" w:hAnsi="Arial" w:cs="Arial"/>
        </w:rPr>
      </w:pPr>
      <w:r>
        <w:rPr>
          <w:rFonts w:ascii="Arial" w:hAnsi="Arial" w:cs="Arial"/>
        </w:rPr>
        <w:t>Выполнены:</w:t>
      </w:r>
    </w:p>
    <w:p w:rsidR="00AB00AF" w:rsidRPr="00444501" w:rsidRDefault="00AB00AF" w:rsidP="00AB00AF">
      <w:pPr>
        <w:ind w:firstLine="708"/>
        <w:rPr>
          <w:rFonts w:ascii="Arial" w:hAnsi="Arial" w:cs="Arial"/>
        </w:rPr>
      </w:pPr>
      <w:r w:rsidRPr="00444501">
        <w:rPr>
          <w:rFonts w:ascii="Arial" w:hAnsi="Arial" w:cs="Arial"/>
        </w:rPr>
        <w:t>- капитальный ремонт вторичного отстойника №1 с заменой илососа ИВР-18 цеха ВиК;</w:t>
      </w:r>
    </w:p>
    <w:p w:rsidR="00AB00AF" w:rsidRPr="00444501" w:rsidRDefault="00AB00AF" w:rsidP="00AB00AF">
      <w:pPr>
        <w:ind w:firstLine="708"/>
        <w:rPr>
          <w:rFonts w:ascii="Arial" w:hAnsi="Arial" w:cs="Arial"/>
        </w:rPr>
      </w:pPr>
      <w:r w:rsidRPr="00444501">
        <w:rPr>
          <w:rFonts w:ascii="Arial" w:hAnsi="Arial" w:cs="Arial"/>
        </w:rPr>
        <w:t>- замена электронасосного агрегата Д1600х90 с электродвигателем на насосной станции №1 цеха ВиК;</w:t>
      </w:r>
    </w:p>
    <w:p w:rsidR="00AB00AF" w:rsidRPr="00444501" w:rsidRDefault="00AB00AF" w:rsidP="00AB00AF">
      <w:pPr>
        <w:ind w:firstLine="708"/>
        <w:rPr>
          <w:rFonts w:ascii="Arial" w:hAnsi="Arial" w:cs="Arial"/>
        </w:rPr>
      </w:pPr>
      <w:r w:rsidRPr="00444501">
        <w:rPr>
          <w:rFonts w:ascii="Arial" w:hAnsi="Arial" w:cs="Arial"/>
        </w:rPr>
        <w:t>- устройство лотка оборотной воды (98 м/п) для отвода оборотной воды и шлама от газоочистки мокрого типа ДП №1,3;</w:t>
      </w:r>
    </w:p>
    <w:p w:rsidR="00AB00AF" w:rsidRPr="00444501" w:rsidRDefault="00AB00AF" w:rsidP="00AB00AF">
      <w:pPr>
        <w:ind w:firstLine="708"/>
        <w:rPr>
          <w:rFonts w:ascii="Arial" w:hAnsi="Arial" w:cs="Arial"/>
          <w:u w:val="single"/>
        </w:rPr>
      </w:pPr>
    </w:p>
    <w:p w:rsidR="00AB00AF" w:rsidRPr="00444501" w:rsidRDefault="00AB00AF" w:rsidP="00AB00AF">
      <w:pPr>
        <w:ind w:firstLine="708"/>
        <w:rPr>
          <w:rFonts w:ascii="Arial" w:hAnsi="Arial" w:cs="Arial"/>
          <w:b/>
          <w:i/>
          <w:u w:val="single"/>
        </w:rPr>
      </w:pPr>
      <w:r>
        <w:rPr>
          <w:rFonts w:ascii="Arial" w:hAnsi="Arial" w:cs="Arial"/>
          <w:b/>
          <w:i/>
          <w:u w:val="single"/>
        </w:rPr>
        <w:t>В</w:t>
      </w:r>
      <w:r w:rsidRPr="00444501">
        <w:rPr>
          <w:rFonts w:ascii="Arial" w:hAnsi="Arial" w:cs="Arial"/>
          <w:b/>
          <w:i/>
          <w:u w:val="single"/>
        </w:rPr>
        <w:t xml:space="preserve"> </w:t>
      </w:r>
      <w:r>
        <w:rPr>
          <w:rFonts w:ascii="Arial" w:hAnsi="Arial" w:cs="Arial"/>
          <w:b/>
          <w:i/>
          <w:u w:val="single"/>
        </w:rPr>
        <w:t>ЖДЦ</w:t>
      </w:r>
      <w:r w:rsidRPr="00444501">
        <w:rPr>
          <w:rFonts w:ascii="Arial" w:hAnsi="Arial" w:cs="Arial"/>
          <w:b/>
          <w:i/>
          <w:u w:val="single"/>
        </w:rPr>
        <w:t>:</w:t>
      </w:r>
    </w:p>
    <w:p w:rsidR="00AB00AF" w:rsidRPr="00F07596" w:rsidRDefault="00F07596" w:rsidP="00AB00AF">
      <w:pPr>
        <w:ind w:firstLine="708"/>
        <w:rPr>
          <w:rFonts w:ascii="Arial" w:hAnsi="Arial" w:cs="Arial"/>
        </w:rPr>
      </w:pPr>
      <w:r>
        <w:rPr>
          <w:rFonts w:ascii="Arial" w:hAnsi="Arial" w:cs="Arial"/>
        </w:rPr>
        <w:t>- з</w:t>
      </w:r>
      <w:r w:rsidR="00AB00AF" w:rsidRPr="00F07596">
        <w:rPr>
          <w:rFonts w:ascii="Arial" w:hAnsi="Arial" w:cs="Arial"/>
        </w:rPr>
        <w:t>аменены учас</w:t>
      </w:r>
      <w:r w:rsidRPr="00F07596">
        <w:rPr>
          <w:rFonts w:ascii="Arial" w:hAnsi="Arial" w:cs="Arial"/>
        </w:rPr>
        <w:t>тки верхнего строения ж/д путей общей протяженностью 10</w:t>
      </w:r>
      <w:r w:rsidR="00842A28">
        <w:rPr>
          <w:rFonts w:ascii="Arial" w:hAnsi="Arial" w:cs="Arial"/>
        </w:rPr>
        <w:t>6</w:t>
      </w:r>
      <w:r w:rsidRPr="00F07596">
        <w:rPr>
          <w:rFonts w:ascii="Arial" w:hAnsi="Arial" w:cs="Arial"/>
        </w:rPr>
        <w:t>6 м/п и 14 стрелочных переводов</w:t>
      </w:r>
      <w:r>
        <w:rPr>
          <w:rFonts w:ascii="Arial" w:hAnsi="Arial" w:cs="Arial"/>
        </w:rPr>
        <w:t>;</w:t>
      </w:r>
    </w:p>
    <w:p w:rsidR="00F07596" w:rsidRPr="00F07596" w:rsidRDefault="00F07596" w:rsidP="00AB00AF">
      <w:pPr>
        <w:ind w:firstLine="708"/>
        <w:rPr>
          <w:rFonts w:ascii="Arial" w:hAnsi="Arial" w:cs="Arial"/>
        </w:rPr>
      </w:pPr>
      <w:r>
        <w:rPr>
          <w:rFonts w:ascii="Arial" w:hAnsi="Arial" w:cs="Arial"/>
        </w:rPr>
        <w:t>- в</w:t>
      </w:r>
      <w:r w:rsidR="00AB00AF" w:rsidRPr="00F07596">
        <w:rPr>
          <w:rFonts w:ascii="Arial" w:hAnsi="Arial" w:cs="Arial"/>
        </w:rPr>
        <w:t xml:space="preserve">ыполнен ремонт </w:t>
      </w:r>
      <w:r w:rsidRPr="00F07596">
        <w:rPr>
          <w:rFonts w:ascii="Arial" w:hAnsi="Arial" w:cs="Arial"/>
        </w:rPr>
        <w:t>4 тепловозов, одного ж/д крана и 6 ед</w:t>
      </w:r>
      <w:r>
        <w:rPr>
          <w:rFonts w:ascii="Arial" w:hAnsi="Arial" w:cs="Arial"/>
        </w:rPr>
        <w:t>иниц</w:t>
      </w:r>
      <w:r w:rsidRPr="00F07596">
        <w:rPr>
          <w:rFonts w:ascii="Arial" w:hAnsi="Arial" w:cs="Arial"/>
        </w:rPr>
        <w:t xml:space="preserve"> крытых вагонов</w:t>
      </w:r>
      <w:r>
        <w:rPr>
          <w:rFonts w:ascii="Arial" w:hAnsi="Arial" w:cs="Arial"/>
        </w:rPr>
        <w:t>;</w:t>
      </w:r>
      <w:r w:rsidRPr="00F07596">
        <w:rPr>
          <w:rFonts w:ascii="Arial" w:hAnsi="Arial" w:cs="Arial"/>
        </w:rPr>
        <w:t xml:space="preserve"> </w:t>
      </w:r>
    </w:p>
    <w:p w:rsidR="00AB00AF" w:rsidRPr="00F07596" w:rsidRDefault="00F07596" w:rsidP="00AB00AF">
      <w:pPr>
        <w:ind w:firstLine="708"/>
        <w:rPr>
          <w:rFonts w:ascii="Arial" w:hAnsi="Arial" w:cs="Arial"/>
        </w:rPr>
      </w:pPr>
      <w:r>
        <w:rPr>
          <w:rFonts w:ascii="Arial" w:hAnsi="Arial" w:cs="Arial"/>
        </w:rPr>
        <w:t>- п</w:t>
      </w:r>
      <w:r w:rsidRPr="00F07596">
        <w:rPr>
          <w:rFonts w:ascii="Arial" w:hAnsi="Arial" w:cs="Arial"/>
        </w:rPr>
        <w:t>ри</w:t>
      </w:r>
      <w:r w:rsidR="00AB00AF" w:rsidRPr="00F07596">
        <w:rPr>
          <w:rFonts w:ascii="Arial" w:hAnsi="Arial" w:cs="Arial"/>
        </w:rPr>
        <w:t>обретен</w:t>
      </w:r>
      <w:r w:rsidRPr="00F07596">
        <w:rPr>
          <w:rFonts w:ascii="Arial" w:hAnsi="Arial" w:cs="Arial"/>
        </w:rPr>
        <w:t>ы</w:t>
      </w:r>
      <w:r w:rsidR="00AB00AF" w:rsidRPr="00F07596">
        <w:rPr>
          <w:rFonts w:ascii="Arial" w:hAnsi="Arial" w:cs="Arial"/>
        </w:rPr>
        <w:t xml:space="preserve"> </w:t>
      </w:r>
      <w:r>
        <w:rPr>
          <w:rFonts w:ascii="Arial" w:hAnsi="Arial" w:cs="Arial"/>
        </w:rPr>
        <w:t xml:space="preserve">2 </w:t>
      </w:r>
      <w:r w:rsidR="00AB00AF" w:rsidRPr="00F07596">
        <w:rPr>
          <w:rFonts w:ascii="Arial" w:hAnsi="Arial" w:cs="Arial"/>
        </w:rPr>
        <w:t>тепловоз</w:t>
      </w:r>
      <w:r>
        <w:rPr>
          <w:rFonts w:ascii="Arial" w:hAnsi="Arial" w:cs="Arial"/>
        </w:rPr>
        <w:t>а</w:t>
      </w:r>
      <w:r w:rsidR="00AB00AF" w:rsidRPr="00F07596">
        <w:rPr>
          <w:rFonts w:ascii="Arial" w:hAnsi="Arial" w:cs="Arial"/>
        </w:rPr>
        <w:t xml:space="preserve"> ТГМ-6</w:t>
      </w:r>
      <w:r>
        <w:rPr>
          <w:rFonts w:ascii="Arial" w:hAnsi="Arial" w:cs="Arial"/>
        </w:rPr>
        <w:t>.</w:t>
      </w:r>
    </w:p>
    <w:p w:rsidR="00AB00AF" w:rsidRDefault="00AB00AF" w:rsidP="00AB00AF">
      <w:pPr>
        <w:ind w:firstLine="708"/>
        <w:rPr>
          <w:rFonts w:ascii="Arial" w:hAnsi="Arial" w:cs="Arial"/>
        </w:rPr>
      </w:pPr>
    </w:p>
    <w:p w:rsidR="00AB00AF" w:rsidRPr="00444501" w:rsidRDefault="00AB00AF" w:rsidP="00AB00AF">
      <w:pPr>
        <w:ind w:firstLine="708"/>
        <w:rPr>
          <w:rFonts w:ascii="Arial" w:hAnsi="Arial" w:cs="Arial"/>
          <w:b/>
          <w:i/>
          <w:u w:val="single"/>
        </w:rPr>
      </w:pPr>
      <w:r>
        <w:rPr>
          <w:rFonts w:ascii="Arial" w:hAnsi="Arial" w:cs="Arial"/>
          <w:b/>
          <w:i/>
          <w:u w:val="single"/>
        </w:rPr>
        <w:t>В</w:t>
      </w:r>
      <w:r w:rsidRPr="00444501">
        <w:rPr>
          <w:rFonts w:ascii="Arial" w:hAnsi="Arial" w:cs="Arial"/>
          <w:b/>
          <w:i/>
          <w:u w:val="single"/>
        </w:rPr>
        <w:t xml:space="preserve"> </w:t>
      </w:r>
      <w:r>
        <w:rPr>
          <w:rFonts w:ascii="Arial" w:hAnsi="Arial" w:cs="Arial"/>
          <w:b/>
          <w:i/>
          <w:u w:val="single"/>
        </w:rPr>
        <w:t>РМЦ</w:t>
      </w:r>
      <w:r w:rsidRPr="00444501">
        <w:rPr>
          <w:rFonts w:ascii="Arial" w:hAnsi="Arial" w:cs="Arial"/>
          <w:b/>
          <w:i/>
          <w:u w:val="single"/>
        </w:rPr>
        <w:t>:</w:t>
      </w:r>
    </w:p>
    <w:p w:rsidR="00AB00AF" w:rsidRPr="00444501" w:rsidRDefault="00AB00AF" w:rsidP="00AB00AF">
      <w:pPr>
        <w:ind w:firstLine="708"/>
        <w:rPr>
          <w:rFonts w:ascii="Arial" w:hAnsi="Arial" w:cs="Arial"/>
        </w:rPr>
      </w:pPr>
      <w:r w:rsidRPr="00444501">
        <w:rPr>
          <w:rFonts w:ascii="Arial" w:hAnsi="Arial" w:cs="Arial"/>
        </w:rPr>
        <w:t xml:space="preserve">- </w:t>
      </w:r>
      <w:r w:rsidR="003A7543">
        <w:rPr>
          <w:rFonts w:ascii="Arial" w:hAnsi="Arial" w:cs="Arial"/>
        </w:rPr>
        <w:t xml:space="preserve">выполнен </w:t>
      </w:r>
      <w:r w:rsidRPr="00444501">
        <w:rPr>
          <w:rFonts w:ascii="Arial" w:hAnsi="Arial" w:cs="Arial"/>
        </w:rPr>
        <w:t>капитальный ремонт кровли механического отделения РМЦ;</w:t>
      </w:r>
    </w:p>
    <w:p w:rsidR="00AB00AF" w:rsidRPr="00444501" w:rsidRDefault="00AB00AF" w:rsidP="00AB00AF">
      <w:pPr>
        <w:ind w:firstLine="708"/>
        <w:rPr>
          <w:rFonts w:ascii="Arial" w:hAnsi="Arial" w:cs="Arial"/>
        </w:rPr>
      </w:pPr>
      <w:r w:rsidRPr="00444501">
        <w:rPr>
          <w:rFonts w:ascii="Arial" w:hAnsi="Arial" w:cs="Arial"/>
        </w:rPr>
        <w:t>- приобретен</w:t>
      </w:r>
      <w:r w:rsidR="00842A28">
        <w:rPr>
          <w:rFonts w:ascii="Arial" w:hAnsi="Arial" w:cs="Arial"/>
        </w:rPr>
        <w:t>ы</w:t>
      </w:r>
      <w:r w:rsidR="003A7543">
        <w:rPr>
          <w:rFonts w:ascii="Arial" w:hAnsi="Arial" w:cs="Arial"/>
        </w:rPr>
        <w:t xml:space="preserve"> новый токарно</w:t>
      </w:r>
      <w:r w:rsidR="00842A28">
        <w:rPr>
          <w:rFonts w:ascii="Arial" w:hAnsi="Arial" w:cs="Arial"/>
        </w:rPr>
        <w:t xml:space="preserve">-винторезного станок и </w:t>
      </w:r>
      <w:r w:rsidRPr="00444501">
        <w:rPr>
          <w:rFonts w:ascii="Arial" w:hAnsi="Arial" w:cs="Arial"/>
        </w:rPr>
        <w:t xml:space="preserve">новый универсально фрезерный станок. </w:t>
      </w:r>
    </w:p>
    <w:p w:rsidR="00AB00AF" w:rsidRDefault="00AB00AF" w:rsidP="00AB00AF">
      <w:pPr>
        <w:ind w:firstLine="708"/>
        <w:rPr>
          <w:rFonts w:ascii="Arial" w:hAnsi="Arial" w:cs="Arial"/>
        </w:rPr>
      </w:pPr>
    </w:p>
    <w:p w:rsidR="00AB00AF" w:rsidRDefault="00AB00AF" w:rsidP="00AB00AF">
      <w:pPr>
        <w:ind w:firstLine="708"/>
        <w:rPr>
          <w:rFonts w:ascii="Arial" w:hAnsi="Arial" w:cs="Arial"/>
        </w:rPr>
      </w:pPr>
      <w:r>
        <w:rPr>
          <w:rFonts w:ascii="Arial" w:hAnsi="Arial" w:cs="Arial"/>
          <w:b/>
          <w:i/>
          <w:u w:val="single"/>
        </w:rPr>
        <w:t>В</w:t>
      </w:r>
      <w:r w:rsidRPr="00444501">
        <w:rPr>
          <w:rFonts w:ascii="Arial" w:hAnsi="Arial" w:cs="Arial"/>
          <w:b/>
          <w:i/>
          <w:u w:val="single"/>
        </w:rPr>
        <w:t xml:space="preserve"> </w:t>
      </w:r>
      <w:r>
        <w:rPr>
          <w:rFonts w:ascii="Arial" w:hAnsi="Arial" w:cs="Arial"/>
          <w:b/>
          <w:i/>
          <w:u w:val="single"/>
        </w:rPr>
        <w:t xml:space="preserve">ЭТЦ </w:t>
      </w:r>
      <w:r w:rsidRPr="00AB00AF">
        <w:rPr>
          <w:rFonts w:ascii="Arial" w:hAnsi="Arial" w:cs="Arial"/>
        </w:rPr>
        <w:t>произведена</w:t>
      </w:r>
      <w:r>
        <w:rPr>
          <w:rFonts w:ascii="Arial" w:hAnsi="Arial" w:cs="Arial"/>
        </w:rPr>
        <w:t xml:space="preserve"> з</w:t>
      </w:r>
      <w:r w:rsidRPr="00444501">
        <w:rPr>
          <w:rFonts w:ascii="Arial" w:hAnsi="Arial" w:cs="Arial"/>
        </w:rPr>
        <w:t>амена масляных выключателей на вакуумные. Замена электромеханической релейной защиты  на микропроцессорные устройства «Сириус" на подстанции 1 -й насосной станции.</w:t>
      </w:r>
    </w:p>
    <w:p w:rsidR="00AB00AF" w:rsidRDefault="00AB00AF" w:rsidP="00AB00AF">
      <w:pPr>
        <w:ind w:firstLine="708"/>
        <w:rPr>
          <w:rFonts w:ascii="Arial" w:hAnsi="Arial" w:cs="Arial"/>
          <w:b/>
          <w:i/>
          <w:u w:val="single"/>
        </w:rPr>
      </w:pPr>
    </w:p>
    <w:p w:rsidR="00AB00AF" w:rsidRDefault="00AB00AF" w:rsidP="00AB00AF">
      <w:pPr>
        <w:ind w:firstLine="708"/>
        <w:rPr>
          <w:rFonts w:ascii="Arial" w:hAnsi="Arial" w:cs="Arial"/>
        </w:rPr>
      </w:pPr>
      <w:r>
        <w:rPr>
          <w:rFonts w:ascii="Arial" w:hAnsi="Arial" w:cs="Arial"/>
          <w:b/>
          <w:i/>
          <w:u w:val="single"/>
        </w:rPr>
        <w:t>В</w:t>
      </w:r>
      <w:r w:rsidRPr="00444501">
        <w:rPr>
          <w:rFonts w:ascii="Arial" w:hAnsi="Arial" w:cs="Arial"/>
          <w:b/>
          <w:i/>
          <w:u w:val="single"/>
        </w:rPr>
        <w:t xml:space="preserve"> </w:t>
      </w:r>
      <w:r>
        <w:rPr>
          <w:rFonts w:ascii="Arial" w:hAnsi="Arial" w:cs="Arial"/>
          <w:b/>
          <w:i/>
          <w:u w:val="single"/>
        </w:rPr>
        <w:t>литейном</w:t>
      </w:r>
      <w:r w:rsidRPr="00444501">
        <w:rPr>
          <w:rFonts w:ascii="Arial" w:hAnsi="Arial" w:cs="Arial"/>
          <w:b/>
          <w:i/>
          <w:u w:val="single"/>
        </w:rPr>
        <w:t xml:space="preserve"> цех</w:t>
      </w:r>
      <w:r>
        <w:rPr>
          <w:rFonts w:ascii="Arial" w:hAnsi="Arial" w:cs="Arial"/>
          <w:b/>
          <w:i/>
          <w:u w:val="single"/>
        </w:rPr>
        <w:t xml:space="preserve">е </w:t>
      </w:r>
      <w:r w:rsidRPr="00AB00AF">
        <w:rPr>
          <w:rFonts w:ascii="Arial" w:hAnsi="Arial" w:cs="Arial"/>
        </w:rPr>
        <w:t xml:space="preserve">произведен </w:t>
      </w:r>
      <w:r w:rsidRPr="00444501">
        <w:rPr>
          <w:rFonts w:ascii="Arial" w:hAnsi="Arial" w:cs="Arial"/>
        </w:rPr>
        <w:t>капитальный ремонт печного трансформатора литейного цеха</w:t>
      </w:r>
      <w:r>
        <w:rPr>
          <w:rFonts w:ascii="Arial" w:hAnsi="Arial" w:cs="Arial"/>
        </w:rPr>
        <w:t>.</w:t>
      </w:r>
    </w:p>
    <w:p w:rsidR="00AB00AF" w:rsidRDefault="00AB00AF" w:rsidP="00AB00AF">
      <w:pPr>
        <w:ind w:firstLine="708"/>
        <w:rPr>
          <w:rFonts w:ascii="Arial" w:hAnsi="Arial" w:cs="Arial"/>
          <w:b/>
          <w:i/>
          <w:u w:val="single"/>
        </w:rPr>
      </w:pPr>
    </w:p>
    <w:p w:rsidR="00AB00AF" w:rsidRPr="00444501" w:rsidRDefault="00AB00AF" w:rsidP="00AB00AF">
      <w:pPr>
        <w:ind w:firstLine="708"/>
        <w:rPr>
          <w:rFonts w:ascii="Arial" w:hAnsi="Arial" w:cs="Arial"/>
        </w:rPr>
      </w:pPr>
      <w:r>
        <w:rPr>
          <w:rFonts w:ascii="Arial" w:hAnsi="Arial" w:cs="Arial"/>
          <w:b/>
          <w:i/>
          <w:u w:val="single"/>
        </w:rPr>
        <w:t>Для</w:t>
      </w:r>
      <w:r w:rsidRPr="00444501">
        <w:rPr>
          <w:rFonts w:ascii="Arial" w:hAnsi="Arial" w:cs="Arial"/>
          <w:b/>
          <w:i/>
          <w:u w:val="single"/>
        </w:rPr>
        <w:t xml:space="preserve"> </w:t>
      </w:r>
      <w:r>
        <w:rPr>
          <w:rFonts w:ascii="Arial" w:hAnsi="Arial" w:cs="Arial"/>
          <w:b/>
          <w:i/>
          <w:u w:val="single"/>
        </w:rPr>
        <w:t xml:space="preserve">АТЦ  </w:t>
      </w:r>
      <w:r w:rsidRPr="00AB00AF">
        <w:rPr>
          <w:rFonts w:ascii="Arial" w:hAnsi="Arial" w:cs="Arial"/>
        </w:rPr>
        <w:t xml:space="preserve">приобретены </w:t>
      </w:r>
      <w:r w:rsidRPr="00444501">
        <w:rPr>
          <w:rFonts w:ascii="Arial" w:hAnsi="Arial" w:cs="Arial"/>
        </w:rPr>
        <w:t xml:space="preserve"> погрузчик</w:t>
      </w:r>
      <w:r>
        <w:rPr>
          <w:rFonts w:ascii="Arial" w:hAnsi="Arial" w:cs="Arial"/>
        </w:rPr>
        <w:t xml:space="preserve"> и самосвал</w:t>
      </w:r>
      <w:r w:rsidRPr="00444501">
        <w:rPr>
          <w:rFonts w:ascii="Arial" w:hAnsi="Arial" w:cs="Arial"/>
        </w:rPr>
        <w:t>.</w:t>
      </w:r>
    </w:p>
    <w:p w:rsidR="00AB00AF" w:rsidRPr="00444501" w:rsidRDefault="00AB00AF" w:rsidP="00AB00AF">
      <w:pPr>
        <w:ind w:firstLine="708"/>
        <w:rPr>
          <w:rFonts w:ascii="Arial" w:hAnsi="Arial" w:cs="Arial"/>
        </w:rPr>
      </w:pPr>
    </w:p>
    <w:p w:rsidR="00AB00AF" w:rsidRDefault="00AB00AF" w:rsidP="00AB00AF">
      <w:pPr>
        <w:ind w:firstLine="708"/>
        <w:rPr>
          <w:rFonts w:ascii="Arial" w:hAnsi="Arial" w:cs="Arial"/>
        </w:rPr>
      </w:pPr>
      <w:r w:rsidRPr="00444501">
        <w:rPr>
          <w:rFonts w:ascii="Arial" w:hAnsi="Arial" w:cs="Arial"/>
        </w:rPr>
        <w:t xml:space="preserve"> </w:t>
      </w:r>
      <w:r>
        <w:rPr>
          <w:rFonts w:ascii="Arial" w:hAnsi="Arial" w:cs="Arial"/>
          <w:b/>
          <w:i/>
          <w:u w:val="single"/>
        </w:rPr>
        <w:t>В</w:t>
      </w:r>
      <w:r w:rsidRPr="00444501">
        <w:rPr>
          <w:rFonts w:ascii="Arial" w:hAnsi="Arial" w:cs="Arial"/>
          <w:b/>
          <w:i/>
          <w:u w:val="single"/>
        </w:rPr>
        <w:t xml:space="preserve"> </w:t>
      </w:r>
      <w:r>
        <w:rPr>
          <w:rFonts w:ascii="Arial" w:hAnsi="Arial" w:cs="Arial"/>
          <w:b/>
          <w:i/>
          <w:u w:val="single"/>
        </w:rPr>
        <w:t xml:space="preserve">газовом цехе </w:t>
      </w:r>
      <w:r w:rsidRPr="00AB00AF">
        <w:rPr>
          <w:rFonts w:ascii="Arial" w:hAnsi="Arial" w:cs="Arial"/>
        </w:rPr>
        <w:t xml:space="preserve">проведен </w:t>
      </w:r>
      <w:r w:rsidRPr="00444501">
        <w:rPr>
          <w:rFonts w:ascii="Arial" w:hAnsi="Arial" w:cs="Arial"/>
        </w:rPr>
        <w:t>капитальный ремонт скрубберов № 3,4 газового цеха со 100% заменой площадок обслуживания.</w:t>
      </w:r>
    </w:p>
    <w:p w:rsidR="00AB00AF" w:rsidRPr="00444501" w:rsidRDefault="00AB00AF" w:rsidP="00AB00AF">
      <w:pPr>
        <w:ind w:firstLine="708"/>
        <w:rPr>
          <w:rFonts w:ascii="Arial" w:hAnsi="Arial" w:cs="Arial"/>
        </w:rPr>
      </w:pPr>
    </w:p>
    <w:p w:rsidR="00AB00AF" w:rsidRPr="00436768" w:rsidRDefault="00AB00AF" w:rsidP="00AB00AF">
      <w:pPr>
        <w:ind w:firstLine="709"/>
        <w:jc w:val="both"/>
        <w:rPr>
          <w:rFonts w:ascii="Arial" w:hAnsi="Arial" w:cs="Arial"/>
        </w:rPr>
      </w:pPr>
      <w:r w:rsidRPr="00436768">
        <w:rPr>
          <w:rFonts w:ascii="Arial" w:hAnsi="Arial" w:cs="Arial"/>
        </w:rPr>
        <w:t>ПАО «КМЗ» своими главными приоритетами в развитии считает постоянное совершенствование и модернизацию производства,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AB00AF" w:rsidRPr="00436768" w:rsidRDefault="00AB00AF" w:rsidP="00AB00AF">
      <w:pPr>
        <w:spacing w:before="120" w:after="120"/>
        <w:ind w:firstLine="709"/>
        <w:jc w:val="both"/>
        <w:rPr>
          <w:rFonts w:ascii="Arial" w:hAnsi="Arial" w:cs="Arial"/>
        </w:rPr>
      </w:pPr>
      <w:r w:rsidRPr="00436768">
        <w:rPr>
          <w:rFonts w:ascii="Arial" w:hAnsi="Arial" w:cs="Arial"/>
        </w:rPr>
        <w:t>В 20</w:t>
      </w:r>
      <w:r>
        <w:rPr>
          <w:rFonts w:ascii="Arial" w:hAnsi="Arial" w:cs="Arial"/>
        </w:rPr>
        <w:t>22</w:t>
      </w:r>
      <w:r w:rsidRPr="00436768">
        <w:rPr>
          <w:rFonts w:ascii="Arial" w:hAnsi="Arial" w:cs="Arial"/>
        </w:rPr>
        <w:t xml:space="preserve"> году ПАО «КМЗ» планирует следовать выбранной стратегии развития, основой которой являются:</w:t>
      </w:r>
    </w:p>
    <w:p w:rsidR="00AB00AF" w:rsidRPr="00436768" w:rsidRDefault="00AB00AF" w:rsidP="00AB00AF">
      <w:pPr>
        <w:numPr>
          <w:ilvl w:val="0"/>
          <w:numId w:val="13"/>
        </w:numPr>
        <w:tabs>
          <w:tab w:val="clear" w:pos="1699"/>
          <w:tab w:val="num" w:pos="993"/>
        </w:tabs>
        <w:spacing w:before="120" w:after="120"/>
        <w:ind w:left="993" w:hanging="567"/>
        <w:jc w:val="both"/>
        <w:rPr>
          <w:rFonts w:ascii="Arial" w:hAnsi="Arial" w:cs="Arial"/>
        </w:rPr>
      </w:pPr>
      <w:r w:rsidRPr="00436768">
        <w:rPr>
          <w:rFonts w:ascii="Arial" w:hAnsi="Arial" w:cs="Arial"/>
        </w:rPr>
        <w:t>Кадровая и социальная политика, направленная на сохранение квалифицированных кадров.</w:t>
      </w:r>
    </w:p>
    <w:p w:rsidR="00AB00AF" w:rsidRPr="00436768" w:rsidRDefault="00AB00AF" w:rsidP="00AB00AF">
      <w:pPr>
        <w:numPr>
          <w:ilvl w:val="0"/>
          <w:numId w:val="13"/>
        </w:numPr>
        <w:tabs>
          <w:tab w:val="clear" w:pos="1699"/>
          <w:tab w:val="num" w:pos="993"/>
        </w:tabs>
        <w:spacing w:before="120" w:after="120"/>
        <w:ind w:left="993" w:hanging="567"/>
        <w:jc w:val="both"/>
        <w:rPr>
          <w:rFonts w:ascii="Arial" w:hAnsi="Arial" w:cs="Arial"/>
        </w:rPr>
      </w:pPr>
      <w:r w:rsidRPr="00436768">
        <w:rPr>
          <w:rFonts w:ascii="Arial" w:hAnsi="Arial" w:cs="Arial"/>
        </w:rPr>
        <w:t xml:space="preserve">Повышение эффективности производства за счет использования всех имеющихся ресурсов, получение максимальной отдачи от уже </w:t>
      </w:r>
      <w:r w:rsidRPr="00436768">
        <w:rPr>
          <w:rFonts w:ascii="Arial" w:hAnsi="Arial" w:cs="Arial"/>
        </w:rPr>
        <w:lastRenderedPageBreak/>
        <w:t>осуществленных инвестиций – снижение норм расхода сырья в доменном производстве.</w:t>
      </w:r>
    </w:p>
    <w:p w:rsidR="00AB00AF" w:rsidRPr="00343709" w:rsidRDefault="00AB00AF" w:rsidP="00AB00AF">
      <w:pPr>
        <w:numPr>
          <w:ilvl w:val="0"/>
          <w:numId w:val="13"/>
        </w:numPr>
        <w:tabs>
          <w:tab w:val="clear" w:pos="1699"/>
          <w:tab w:val="num" w:pos="993"/>
        </w:tabs>
        <w:spacing w:before="120" w:after="120"/>
        <w:ind w:left="993" w:hanging="567"/>
        <w:jc w:val="both"/>
        <w:rPr>
          <w:rFonts w:ascii="Arial" w:hAnsi="Arial" w:cs="Arial"/>
        </w:rPr>
      </w:pPr>
      <w:r w:rsidRPr="00436768">
        <w:rPr>
          <w:rFonts w:ascii="Arial" w:hAnsi="Arial" w:cs="Arial"/>
        </w:rPr>
        <w:t>Продолжение инвестиционной политики.</w:t>
      </w:r>
    </w:p>
    <w:p w:rsidR="00AB00AF" w:rsidRDefault="00AB00AF" w:rsidP="00A27E05">
      <w:pPr>
        <w:spacing w:before="120" w:after="120"/>
        <w:ind w:firstLine="709"/>
        <w:rPr>
          <w:rFonts w:ascii="Arial" w:hAnsi="Arial" w:cs="Arial"/>
        </w:rPr>
      </w:pPr>
    </w:p>
    <w:p w:rsidR="00620C3C" w:rsidRPr="00044C17" w:rsidRDefault="00620C3C" w:rsidP="00530215">
      <w:pPr>
        <w:spacing w:before="120" w:after="120"/>
        <w:ind w:firstLine="709"/>
        <w:jc w:val="both"/>
        <w:rPr>
          <w:rFonts w:ascii="Arial" w:hAnsi="Arial" w:cs="Arial"/>
          <w:sz w:val="8"/>
          <w:szCs w:val="22"/>
          <w:highlight w:val="yellow"/>
        </w:rPr>
      </w:pPr>
    </w:p>
    <w:p w:rsidR="009D1393" w:rsidRPr="008E6DB5" w:rsidRDefault="009D1393" w:rsidP="00530215">
      <w:pPr>
        <w:pStyle w:val="1"/>
        <w:spacing w:before="120" w:after="120"/>
        <w:rPr>
          <w:rFonts w:ascii="Arial" w:hAnsi="Arial" w:cs="Arial"/>
          <w:sz w:val="32"/>
        </w:rPr>
      </w:pPr>
      <w:bookmarkStart w:id="36" w:name="_Toc415487680"/>
      <w:bookmarkStart w:id="37" w:name="_Toc100678749"/>
      <w:r w:rsidRPr="008E6DB5">
        <w:rPr>
          <w:rFonts w:ascii="Arial" w:hAnsi="Arial" w:cs="Arial"/>
          <w:sz w:val="32"/>
        </w:rPr>
        <w:t>Отчет о выплате объявленных (начисленных) дивидендов по акциям Общества</w:t>
      </w:r>
      <w:bookmarkEnd w:id="36"/>
      <w:bookmarkEnd w:id="37"/>
    </w:p>
    <w:p w:rsidR="00C1537B" w:rsidRDefault="00C1537B" w:rsidP="00C1537B">
      <w:pPr>
        <w:pStyle w:val="a5"/>
        <w:rPr>
          <w:rFonts w:ascii="Arial" w:hAnsi="Arial" w:cs="Arial"/>
          <w:szCs w:val="22"/>
        </w:rPr>
      </w:pPr>
      <w:bookmarkStart w:id="38" w:name="_Toc415487681"/>
      <w:r>
        <w:rPr>
          <w:rFonts w:ascii="Arial" w:hAnsi="Arial" w:cs="Arial"/>
          <w:szCs w:val="22"/>
        </w:rPr>
        <w:t>В 2021</w:t>
      </w:r>
      <w:r w:rsidRPr="009931F0">
        <w:rPr>
          <w:rFonts w:ascii="Arial" w:hAnsi="Arial" w:cs="Arial"/>
          <w:szCs w:val="22"/>
        </w:rPr>
        <w:t xml:space="preserve"> году див</w:t>
      </w:r>
      <w:r>
        <w:rPr>
          <w:rFonts w:ascii="Arial" w:hAnsi="Arial" w:cs="Arial"/>
          <w:szCs w:val="22"/>
        </w:rPr>
        <w:t>иденды по акциям Общества за 2020</w:t>
      </w:r>
      <w:r w:rsidRPr="009931F0">
        <w:rPr>
          <w:rFonts w:ascii="Arial" w:hAnsi="Arial" w:cs="Arial"/>
          <w:szCs w:val="22"/>
        </w:rPr>
        <w:t xml:space="preserve"> год не объявлялись и не выплачивались.</w:t>
      </w:r>
    </w:p>
    <w:p w:rsidR="009D1393" w:rsidRPr="008E6DB5" w:rsidRDefault="009D1393" w:rsidP="00530215">
      <w:pPr>
        <w:pStyle w:val="1"/>
        <w:spacing w:before="120" w:after="120"/>
        <w:rPr>
          <w:rFonts w:ascii="Arial" w:hAnsi="Arial" w:cs="Arial"/>
          <w:sz w:val="32"/>
        </w:rPr>
      </w:pPr>
      <w:bookmarkStart w:id="39" w:name="_Toc100678750"/>
      <w:r w:rsidRPr="008E6DB5">
        <w:rPr>
          <w:rFonts w:ascii="Arial" w:hAnsi="Arial" w:cs="Arial"/>
          <w:sz w:val="32"/>
        </w:rPr>
        <w:t>Рекомендации совета директоров по распределению прибыли и убытков и выплате дивидендов по результатам 20</w:t>
      </w:r>
      <w:r w:rsidR="00E27DFB" w:rsidRPr="008E6DB5">
        <w:rPr>
          <w:rFonts w:ascii="Arial" w:hAnsi="Arial" w:cs="Arial"/>
          <w:sz w:val="32"/>
        </w:rPr>
        <w:t>2</w:t>
      </w:r>
      <w:r w:rsidR="00897BF6" w:rsidRPr="008E6DB5">
        <w:rPr>
          <w:rFonts w:ascii="Arial" w:hAnsi="Arial" w:cs="Arial"/>
          <w:sz w:val="32"/>
        </w:rPr>
        <w:t>1</w:t>
      </w:r>
      <w:r w:rsidRPr="008E6DB5">
        <w:rPr>
          <w:rFonts w:ascii="Arial" w:hAnsi="Arial" w:cs="Arial"/>
          <w:sz w:val="32"/>
        </w:rPr>
        <w:t xml:space="preserve"> года</w:t>
      </w:r>
      <w:bookmarkEnd w:id="38"/>
      <w:bookmarkEnd w:id="39"/>
    </w:p>
    <w:p w:rsidR="00C1537B" w:rsidRPr="009931F0" w:rsidRDefault="00C1537B" w:rsidP="00C1537B">
      <w:pPr>
        <w:pStyle w:val="a5"/>
        <w:spacing w:before="120" w:after="120"/>
        <w:ind w:firstLine="709"/>
        <w:rPr>
          <w:rFonts w:ascii="Arial" w:hAnsi="Arial" w:cs="Arial"/>
        </w:rPr>
      </w:pPr>
      <w:bookmarkStart w:id="40" w:name="_Toc415487682"/>
      <w:r w:rsidRPr="009931F0">
        <w:rPr>
          <w:rFonts w:ascii="Arial" w:hAnsi="Arial" w:cs="Arial"/>
        </w:rPr>
        <w:t>Рекомендовать собранию акционеров предоставить</w:t>
      </w:r>
      <w:r w:rsidRPr="009931F0">
        <w:rPr>
          <w:rFonts w:ascii="Arial" w:hAnsi="Arial" w:cs="Arial"/>
          <w:sz w:val="22"/>
          <w:szCs w:val="22"/>
        </w:rPr>
        <w:t xml:space="preserve"> </w:t>
      </w:r>
      <w:r w:rsidRPr="009931F0">
        <w:rPr>
          <w:rFonts w:ascii="Arial" w:hAnsi="Arial" w:cs="Arial"/>
        </w:rPr>
        <w:t xml:space="preserve">полномочия </w:t>
      </w:r>
      <w:r w:rsidR="00FC28D5">
        <w:rPr>
          <w:rFonts w:ascii="Arial" w:hAnsi="Arial" w:cs="Arial"/>
        </w:rPr>
        <w:t>единоличному исполнительному органу</w:t>
      </w:r>
      <w:r w:rsidRPr="009931F0">
        <w:rPr>
          <w:rFonts w:ascii="Arial" w:hAnsi="Arial" w:cs="Arial"/>
        </w:rPr>
        <w:t xml:space="preserve"> Общества по осуществлению расходов непроизводственного характера, относимых за счет прибыли (на социальные выплаты и затраты, благотворительность и др.), в следующем размере: </w:t>
      </w:r>
    </w:p>
    <w:p w:rsidR="00C1537B" w:rsidRPr="009E3DA3" w:rsidRDefault="00C1537B" w:rsidP="00C1537B">
      <w:pPr>
        <w:pStyle w:val="a5"/>
        <w:numPr>
          <w:ilvl w:val="0"/>
          <w:numId w:val="14"/>
        </w:numPr>
        <w:spacing w:before="120" w:after="120"/>
        <w:rPr>
          <w:rFonts w:ascii="Arial" w:hAnsi="Arial" w:cs="Arial"/>
        </w:rPr>
      </w:pPr>
      <w:r w:rsidRPr="009E3DA3">
        <w:rPr>
          <w:rFonts w:ascii="Arial" w:hAnsi="Arial" w:cs="Arial"/>
        </w:rPr>
        <w:t xml:space="preserve">в 2022 году –  </w:t>
      </w:r>
      <w:r w:rsidRPr="009E3DA3">
        <w:rPr>
          <w:rFonts w:ascii="Arial" w:hAnsi="Arial" w:cs="Arial"/>
          <w:b/>
          <w:i/>
        </w:rPr>
        <w:t>30 млн. рублей</w:t>
      </w:r>
      <w:r w:rsidRPr="009E3DA3">
        <w:rPr>
          <w:rFonts w:ascii="Arial" w:hAnsi="Arial" w:cs="Arial"/>
        </w:rPr>
        <w:t>;</w:t>
      </w:r>
    </w:p>
    <w:p w:rsidR="00C1537B" w:rsidRPr="009E3DA3" w:rsidRDefault="00C1537B" w:rsidP="00C1537B">
      <w:pPr>
        <w:pStyle w:val="a5"/>
        <w:numPr>
          <w:ilvl w:val="0"/>
          <w:numId w:val="14"/>
        </w:numPr>
        <w:spacing w:before="120" w:after="120"/>
        <w:rPr>
          <w:rFonts w:ascii="Arial" w:hAnsi="Arial" w:cs="Arial"/>
        </w:rPr>
      </w:pPr>
      <w:r w:rsidRPr="009E3DA3">
        <w:rPr>
          <w:rFonts w:ascii="Arial" w:hAnsi="Arial" w:cs="Arial"/>
        </w:rPr>
        <w:t xml:space="preserve">в первом полугодии 2023 года – </w:t>
      </w:r>
      <w:r w:rsidRPr="009E3DA3">
        <w:rPr>
          <w:rFonts w:ascii="Arial" w:hAnsi="Arial" w:cs="Arial"/>
          <w:b/>
          <w:i/>
        </w:rPr>
        <w:t>15 млн. рублей</w:t>
      </w:r>
      <w:r w:rsidRPr="009E3DA3">
        <w:rPr>
          <w:rFonts w:ascii="Arial" w:hAnsi="Arial" w:cs="Arial"/>
        </w:rPr>
        <w:t>.</w:t>
      </w:r>
    </w:p>
    <w:p w:rsidR="00DE1644" w:rsidRPr="00E07DEA" w:rsidRDefault="00DE1644" w:rsidP="00530215">
      <w:pPr>
        <w:pStyle w:val="1"/>
        <w:spacing w:before="120" w:after="120"/>
        <w:rPr>
          <w:rFonts w:ascii="Arial" w:hAnsi="Arial" w:cs="Arial"/>
          <w:sz w:val="32"/>
        </w:rPr>
      </w:pPr>
    </w:p>
    <w:p w:rsidR="00815B51" w:rsidRPr="00B854D6" w:rsidRDefault="00815B51" w:rsidP="00530215">
      <w:pPr>
        <w:pStyle w:val="1"/>
        <w:spacing w:before="120" w:after="120"/>
        <w:rPr>
          <w:rFonts w:ascii="Arial" w:hAnsi="Arial" w:cs="Arial"/>
          <w:sz w:val="32"/>
        </w:rPr>
      </w:pPr>
      <w:bookmarkStart w:id="41" w:name="_Toc100678751"/>
      <w:r w:rsidRPr="007F150B">
        <w:rPr>
          <w:rFonts w:ascii="Arial" w:hAnsi="Arial" w:cs="Arial"/>
          <w:sz w:val="32"/>
        </w:rPr>
        <w:t>Описание основных факторов риска, связанных с деятельностью Общества</w:t>
      </w:r>
      <w:bookmarkEnd w:id="40"/>
      <w:bookmarkEnd w:id="41"/>
    </w:p>
    <w:p w:rsidR="00C42A31" w:rsidRPr="003D0DB9" w:rsidRDefault="00C42A31" w:rsidP="00C42A31">
      <w:pPr>
        <w:pStyle w:val="2"/>
        <w:spacing w:before="120" w:after="120"/>
        <w:rPr>
          <w:rFonts w:ascii="Arial" w:hAnsi="Arial" w:cs="Arial"/>
          <w:i/>
          <w:color w:val="auto"/>
          <w:sz w:val="28"/>
          <w:szCs w:val="28"/>
        </w:rPr>
      </w:pPr>
      <w:bookmarkStart w:id="42" w:name="_Toc415487683"/>
      <w:bookmarkStart w:id="43" w:name="_Toc100678752"/>
      <w:r w:rsidRPr="00FB6A3E">
        <w:rPr>
          <w:rFonts w:ascii="Arial" w:hAnsi="Arial" w:cs="Arial"/>
          <w:i/>
          <w:color w:val="auto"/>
          <w:sz w:val="28"/>
          <w:szCs w:val="28"/>
        </w:rPr>
        <w:t>Отраслевые риски</w:t>
      </w:r>
      <w:bookmarkEnd w:id="42"/>
      <w:bookmarkEnd w:id="43"/>
    </w:p>
    <w:p w:rsidR="00C42A31" w:rsidRPr="003D0DB9" w:rsidRDefault="00C42A31" w:rsidP="00C42A31">
      <w:pPr>
        <w:spacing w:before="120" w:after="120"/>
        <w:ind w:firstLine="709"/>
        <w:jc w:val="both"/>
        <w:rPr>
          <w:rFonts w:ascii="Arial" w:hAnsi="Arial" w:cs="Arial"/>
        </w:rPr>
      </w:pPr>
      <w:r w:rsidRPr="003D0DB9">
        <w:rPr>
          <w:rFonts w:ascii="Arial" w:hAnsi="Arial" w:cs="Arial"/>
        </w:rPr>
        <w:t>Металлургическая отрасль играет одну из ключевых ролей в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w:t>
      </w:r>
      <w:r w:rsidR="0055707E" w:rsidRPr="003D0DB9">
        <w:rPr>
          <w:rFonts w:ascii="Arial" w:hAnsi="Arial" w:cs="Arial"/>
        </w:rPr>
        <w:t>е</w:t>
      </w:r>
      <w:r w:rsidRPr="003D0DB9">
        <w:rPr>
          <w:rFonts w:ascii="Arial" w:hAnsi="Arial" w:cs="Arial"/>
        </w:rPr>
        <w:t xml:space="preserve">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наличие большого количества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низкую платежеспособность ряда потребителей;</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рост цен на сырье и кокс;</w:t>
      </w:r>
    </w:p>
    <w:p w:rsidR="00C42A31" w:rsidRPr="003D0DB9" w:rsidRDefault="00C42A31" w:rsidP="00C42A31">
      <w:pPr>
        <w:spacing w:before="120" w:after="120"/>
        <w:ind w:firstLine="709"/>
        <w:jc w:val="both"/>
        <w:rPr>
          <w:rFonts w:ascii="Arial" w:hAnsi="Arial" w:cs="Arial"/>
        </w:rPr>
      </w:pPr>
      <w:r w:rsidRPr="003D0DB9">
        <w:rPr>
          <w:rFonts w:ascii="Arial" w:hAnsi="Arial" w:cs="Arial"/>
        </w:rPr>
        <w:t>- снижение спроса на продукцию в связи со спадом производства в различных отраслях экономики;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цикличность спроса на продукцию черной металлургии.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3D0DB9" w:rsidRDefault="00C42A31" w:rsidP="00C42A31">
      <w:pPr>
        <w:spacing w:before="120" w:after="120"/>
        <w:ind w:firstLine="709"/>
        <w:jc w:val="both"/>
        <w:rPr>
          <w:rFonts w:ascii="Arial" w:hAnsi="Arial" w:cs="Arial"/>
        </w:rPr>
      </w:pPr>
      <w:r w:rsidRPr="003D0DB9">
        <w:rPr>
          <w:rFonts w:ascii="Arial" w:hAnsi="Arial" w:cs="Arial"/>
        </w:rPr>
        <w:lastRenderedPageBreak/>
        <w:t>- привлечение инвестиций для совершенствования технологии производства;</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структуры производственных затрат, снижение накладных расходов;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повышение эффективности системы обеспечения материально-техническими ресурсами;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поставка продукции на экспорт;</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поиск новых рыночных сегментов;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более эффективное использование производственных мощностей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расширение применения энергосберегающих технологий, использование собственных источников энергии;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поставщиками сырья и услуг;</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потребителями товаров и услуг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логистики поставок продукции;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максимальное удовлетворение всех требований потребителей к продукции завода с целью опережения действий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учитывает прогнозы по изменению конъюнктуры рынка и нивелирует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3D0DB9" w:rsidRDefault="0067067F" w:rsidP="00C42A31">
      <w:pPr>
        <w:spacing w:before="120" w:after="120"/>
        <w:ind w:firstLine="709"/>
        <w:jc w:val="both"/>
        <w:rPr>
          <w:rFonts w:ascii="Arial" w:hAnsi="Arial" w:cs="Arial"/>
        </w:rPr>
      </w:pPr>
    </w:p>
    <w:p w:rsidR="00C42A31" w:rsidRPr="003D0DB9" w:rsidRDefault="00C42A31" w:rsidP="00C42A31">
      <w:pPr>
        <w:pStyle w:val="2"/>
        <w:spacing w:before="120" w:after="120"/>
        <w:rPr>
          <w:rFonts w:ascii="Arial" w:hAnsi="Arial" w:cs="Arial"/>
          <w:i/>
          <w:color w:val="auto"/>
          <w:sz w:val="28"/>
          <w:szCs w:val="28"/>
        </w:rPr>
      </w:pPr>
      <w:bookmarkStart w:id="44" w:name="_Toc415487684"/>
      <w:bookmarkStart w:id="45" w:name="_Toc100678753"/>
      <w:r w:rsidRPr="00FB6A3E">
        <w:rPr>
          <w:rFonts w:ascii="Arial" w:hAnsi="Arial" w:cs="Arial"/>
          <w:i/>
          <w:color w:val="auto"/>
          <w:sz w:val="28"/>
          <w:szCs w:val="28"/>
        </w:rPr>
        <w:t>Страновые и региональные риски</w:t>
      </w:r>
      <w:bookmarkEnd w:id="44"/>
      <w:bookmarkEnd w:id="45"/>
    </w:p>
    <w:p w:rsidR="00C42A31" w:rsidRPr="00043964" w:rsidRDefault="0088665C" w:rsidP="00C42A31">
      <w:pPr>
        <w:spacing w:before="120" w:after="120"/>
        <w:ind w:firstLine="709"/>
        <w:jc w:val="both"/>
        <w:rPr>
          <w:rFonts w:ascii="Arial" w:hAnsi="Arial" w:cs="Arial"/>
        </w:rPr>
      </w:pPr>
      <w:r w:rsidRPr="00043964">
        <w:rPr>
          <w:rFonts w:ascii="Arial" w:hAnsi="Arial" w:cs="Arial"/>
        </w:rPr>
        <w:t xml:space="preserve">ПАО «КМЗ» зарегистрировано в качестве налогоплательщика и осуществляет свою деятельность в городе Туле (Россия, Центральный федеральный округ). </w:t>
      </w:r>
      <w:r w:rsidR="00C42A31" w:rsidRPr="00043964">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043964" w:rsidRDefault="00C42A31" w:rsidP="00C42A31">
      <w:pPr>
        <w:spacing w:before="120" w:after="120"/>
        <w:ind w:firstLine="709"/>
        <w:jc w:val="both"/>
        <w:rPr>
          <w:rFonts w:ascii="Arial" w:hAnsi="Arial" w:cs="Arial"/>
        </w:rPr>
      </w:pPr>
      <w:r w:rsidRPr="00043964">
        <w:rPr>
          <w:rFonts w:ascii="Arial" w:hAnsi="Arial" w:cs="Arial"/>
        </w:rPr>
        <w:t>В настоящее время в российской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налога на акционерные компании;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завышение тарифной политики производителей сырья;</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таможенных пошлин на экспорт чугуна;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 повышение тарифов на ж/д перевозки, на энергоносители;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замедление темпов внутреннего экономического развития.</w:t>
      </w:r>
    </w:p>
    <w:p w:rsidR="00C42A31" w:rsidRPr="00043964" w:rsidRDefault="00C42A31" w:rsidP="00C42A31">
      <w:pPr>
        <w:spacing w:before="120" w:after="120"/>
        <w:ind w:firstLine="709"/>
        <w:jc w:val="both"/>
        <w:rPr>
          <w:rFonts w:ascii="Arial" w:hAnsi="Arial" w:cs="Arial"/>
        </w:rPr>
      </w:pPr>
      <w:r w:rsidRPr="00043964">
        <w:rPr>
          <w:rFonts w:ascii="Arial" w:hAnsi="Arial" w:cs="Arial"/>
        </w:rPr>
        <w:lastRenderedPageBreak/>
        <w:t>Географические особенности области таковы, что она не подвержена стихийным бедствиям (в т.ч. ураганы, наводнения, землетрясения и т.д.),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производство сельхозпродукции и продуктов питания. Близость Москвы усиливает экономические преимущества региона.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Риск военного конфликта в стране и регионе может оказать на деятельность ПАО «К</w:t>
      </w:r>
      <w:r w:rsidR="00FB6A3E">
        <w:rPr>
          <w:rFonts w:ascii="Arial" w:hAnsi="Arial" w:cs="Arial"/>
        </w:rPr>
        <w:t>МЗ» значительное влияние</w:t>
      </w:r>
      <w:r w:rsidRPr="00043964">
        <w:rPr>
          <w:rFonts w:ascii="Arial" w:hAnsi="Arial" w:cs="Arial"/>
        </w:rPr>
        <w:t>.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w:t>
      </w:r>
      <w:r w:rsidR="00F858AD" w:rsidRPr="00043964">
        <w:rPr>
          <w:rFonts w:ascii="Arial" w:hAnsi="Arial" w:cs="Arial"/>
        </w:rPr>
        <w:t>я</w:t>
      </w:r>
      <w:r w:rsidRPr="00043964">
        <w:rPr>
          <w:rFonts w:ascii="Arial" w:hAnsi="Arial" w:cs="Arial"/>
        </w:rPr>
        <w:t xml:space="preserve">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043964" w:rsidRDefault="0067067F" w:rsidP="00C42A31">
      <w:pPr>
        <w:spacing w:before="120" w:after="120"/>
        <w:ind w:firstLine="709"/>
        <w:jc w:val="both"/>
        <w:rPr>
          <w:rFonts w:ascii="Arial" w:hAnsi="Arial" w:cs="Arial"/>
        </w:rPr>
      </w:pPr>
    </w:p>
    <w:p w:rsidR="00C42A31" w:rsidRPr="00433C5D" w:rsidRDefault="00C42A31" w:rsidP="00C42A31">
      <w:pPr>
        <w:pStyle w:val="2"/>
        <w:spacing w:before="120" w:after="120"/>
        <w:rPr>
          <w:rFonts w:ascii="Arial" w:hAnsi="Arial" w:cs="Arial"/>
          <w:i/>
          <w:color w:val="auto"/>
          <w:sz w:val="28"/>
          <w:szCs w:val="28"/>
        </w:rPr>
      </w:pPr>
      <w:bookmarkStart w:id="46" w:name="_Toc415487685"/>
      <w:bookmarkStart w:id="47" w:name="_Toc100678754"/>
      <w:r w:rsidRPr="00433C5D">
        <w:rPr>
          <w:rFonts w:ascii="Arial" w:hAnsi="Arial" w:cs="Arial"/>
          <w:i/>
          <w:color w:val="auto"/>
          <w:sz w:val="28"/>
          <w:szCs w:val="28"/>
        </w:rPr>
        <w:t>Финансовые риски</w:t>
      </w:r>
      <w:bookmarkEnd w:id="46"/>
      <w:bookmarkEnd w:id="47"/>
    </w:p>
    <w:p w:rsidR="00C42A31" w:rsidRPr="0078221A" w:rsidRDefault="00C42A31" w:rsidP="00C42A31">
      <w:pPr>
        <w:spacing w:before="120" w:after="120"/>
        <w:ind w:firstLine="709"/>
        <w:jc w:val="both"/>
        <w:rPr>
          <w:rStyle w:val="Subst"/>
          <w:rFonts w:ascii="Arial" w:hAnsi="Arial" w:cs="Arial"/>
          <w:b w:val="0"/>
          <w:bCs/>
          <w:iCs/>
        </w:rPr>
      </w:pPr>
      <w:r w:rsidRPr="00433C5D">
        <w:rPr>
          <w:rStyle w:val="Subst"/>
          <w:rFonts w:ascii="Arial" w:hAnsi="Arial" w:cs="Arial"/>
          <w:bCs/>
          <w:iCs/>
        </w:rPr>
        <w:t>Валютный риск</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3B0FF0" w:rsidRPr="005A7B47" w:rsidRDefault="00AC747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Цены </w:t>
      </w:r>
      <w:r w:rsidRPr="005A7B47">
        <w:rPr>
          <w:rFonts w:ascii="Arial" w:hAnsi="Arial" w:cs="Arial"/>
        </w:rPr>
        <w:t>на сырье</w:t>
      </w:r>
      <w:r w:rsidR="003B0FF0" w:rsidRPr="005A7B47">
        <w:rPr>
          <w:rFonts w:ascii="Arial" w:hAnsi="Arial" w:cs="Arial"/>
        </w:rPr>
        <w:t xml:space="preserve"> (окатыши и марганцевую руду)</w:t>
      </w:r>
      <w:r w:rsidRPr="005A7B47">
        <w:rPr>
          <w:rFonts w:ascii="Arial" w:hAnsi="Arial" w:cs="Arial"/>
        </w:rPr>
        <w:t xml:space="preserve"> зависят от индексов независимых международных изданий и курса доллара США, </w:t>
      </w:r>
      <w:r w:rsidR="003B0FF0" w:rsidRPr="005A7B47">
        <w:rPr>
          <w:rFonts w:ascii="Arial" w:hAnsi="Arial" w:cs="Arial"/>
        </w:rPr>
        <w:t>в связи с чем р</w:t>
      </w:r>
      <w:r w:rsidR="00C42A31" w:rsidRPr="005A7B47">
        <w:rPr>
          <w:rStyle w:val="Subst"/>
          <w:rFonts w:ascii="Arial" w:hAnsi="Arial" w:cs="Arial"/>
          <w:b w:val="0"/>
          <w:bCs/>
          <w:i w:val="0"/>
          <w:iCs/>
        </w:rPr>
        <w:t>ост курсов валют</w:t>
      </w:r>
      <w:r w:rsidR="003B0FF0" w:rsidRPr="005A7B47">
        <w:rPr>
          <w:rStyle w:val="Subst"/>
          <w:rFonts w:ascii="Arial" w:hAnsi="Arial" w:cs="Arial"/>
          <w:b w:val="0"/>
          <w:bCs/>
          <w:i w:val="0"/>
          <w:iCs/>
        </w:rPr>
        <w:t xml:space="preserve"> может </w:t>
      </w:r>
      <w:r w:rsidR="004B2E35" w:rsidRPr="005A7B47">
        <w:rPr>
          <w:rStyle w:val="Subst"/>
          <w:rFonts w:ascii="Arial" w:hAnsi="Arial" w:cs="Arial"/>
          <w:b w:val="0"/>
          <w:bCs/>
          <w:i w:val="0"/>
          <w:iCs/>
        </w:rPr>
        <w:t>оказать существенное влияние н</w:t>
      </w:r>
      <w:r w:rsidR="00A16732" w:rsidRPr="005A7B47">
        <w:rPr>
          <w:rStyle w:val="Subst"/>
          <w:rFonts w:ascii="Arial" w:hAnsi="Arial" w:cs="Arial"/>
          <w:b w:val="0"/>
          <w:bCs/>
          <w:i w:val="0"/>
          <w:iCs/>
        </w:rPr>
        <w:t>а стоимость сырья</w:t>
      </w:r>
      <w:r w:rsidR="003B0FF0" w:rsidRPr="005A7B47">
        <w:rPr>
          <w:rStyle w:val="Subst"/>
          <w:rFonts w:ascii="Arial" w:hAnsi="Arial" w:cs="Arial"/>
          <w:b w:val="0"/>
          <w:bCs/>
          <w:i w:val="0"/>
          <w:iCs/>
        </w:rPr>
        <w:t>.</w:t>
      </w:r>
      <w:r w:rsidR="00C42A31" w:rsidRPr="005A7B47">
        <w:rPr>
          <w:rStyle w:val="Subst"/>
          <w:rFonts w:ascii="Arial" w:hAnsi="Arial" w:cs="Arial"/>
          <w:b w:val="0"/>
          <w:bCs/>
          <w:i w:val="0"/>
          <w:iCs/>
        </w:rPr>
        <w:t xml:space="preserve"> </w:t>
      </w:r>
    </w:p>
    <w:p w:rsidR="00C42A31" w:rsidRPr="00F50826"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от операционной деятельности в иностранной валюте. Привлечение заемных средств как в валюте, так и в рублях позволяет своевременно реагировать на </w:t>
      </w:r>
      <w:r w:rsidRPr="00F50826">
        <w:rPr>
          <w:rStyle w:val="Subst"/>
          <w:rFonts w:ascii="Arial" w:hAnsi="Arial" w:cs="Arial"/>
          <w:b w:val="0"/>
          <w:bCs/>
          <w:i w:val="0"/>
          <w:iCs/>
        </w:rPr>
        <w:t>складывающуюся конъюнктуру рынка заемного капитала.</w:t>
      </w:r>
    </w:p>
    <w:p w:rsidR="00E3779C" w:rsidRDefault="00E3779C" w:rsidP="00477867">
      <w:pPr>
        <w:spacing w:before="120" w:after="120"/>
        <w:ind w:firstLine="709"/>
        <w:jc w:val="both"/>
        <w:rPr>
          <w:rStyle w:val="Subst"/>
          <w:rFonts w:ascii="Arial" w:hAnsi="Arial" w:cs="Arial"/>
          <w:b w:val="0"/>
          <w:bCs/>
          <w:i w:val="0"/>
          <w:iCs/>
        </w:rPr>
      </w:pPr>
      <w:r w:rsidRPr="00477867">
        <w:rPr>
          <w:rStyle w:val="Subst"/>
          <w:rFonts w:ascii="Arial" w:hAnsi="Arial" w:cs="Arial"/>
          <w:b w:val="0"/>
          <w:bCs/>
          <w:i w:val="0"/>
          <w:iCs/>
        </w:rPr>
        <w:lastRenderedPageBreak/>
        <w:t>В 202</w:t>
      </w:r>
      <w:r w:rsidR="00800D94" w:rsidRPr="00477867">
        <w:rPr>
          <w:rStyle w:val="Subst"/>
          <w:rFonts w:ascii="Arial" w:hAnsi="Arial" w:cs="Arial"/>
          <w:b w:val="0"/>
          <w:bCs/>
          <w:i w:val="0"/>
          <w:iCs/>
        </w:rPr>
        <w:t>1</w:t>
      </w:r>
      <w:r w:rsidRPr="00477867">
        <w:rPr>
          <w:rStyle w:val="Subst"/>
          <w:rFonts w:ascii="Arial" w:hAnsi="Arial" w:cs="Arial"/>
          <w:b w:val="0"/>
          <w:bCs/>
          <w:i w:val="0"/>
          <w:iCs/>
        </w:rPr>
        <w:t xml:space="preserve"> году</w:t>
      </w:r>
      <w:r w:rsidR="0027685B" w:rsidRPr="00477867">
        <w:rPr>
          <w:rStyle w:val="Subst"/>
          <w:rFonts w:ascii="Arial" w:hAnsi="Arial" w:cs="Arial"/>
          <w:b w:val="0"/>
          <w:bCs/>
          <w:i w:val="0"/>
          <w:iCs/>
        </w:rPr>
        <w:t xml:space="preserve"> рубль укрепился по отношению по отношению к европейской валюте</w:t>
      </w:r>
      <w:r w:rsidR="00477867" w:rsidRPr="00477867">
        <w:rPr>
          <w:rStyle w:val="Subst"/>
          <w:rFonts w:ascii="Arial" w:hAnsi="Arial" w:cs="Arial"/>
          <w:b w:val="0"/>
          <w:bCs/>
          <w:i w:val="0"/>
          <w:iCs/>
        </w:rPr>
        <w:t xml:space="preserve"> (н</w:t>
      </w:r>
      <w:r w:rsidR="0027685B" w:rsidRPr="00477867">
        <w:rPr>
          <w:rFonts w:ascii="Arial" w:hAnsi="Arial" w:cs="Arial"/>
          <w:color w:val="44464B"/>
          <w:spacing w:val="2"/>
          <w:shd w:val="clear" w:color="auto" w:fill="FFFFFF"/>
        </w:rPr>
        <w:t>а 31 декабря 2021 года курс евро составил 84,0695</w:t>
      </w:r>
      <w:r w:rsidR="00477867" w:rsidRPr="00477867">
        <w:rPr>
          <w:rFonts w:ascii="Arial" w:hAnsi="Arial" w:cs="Arial"/>
          <w:color w:val="44464B"/>
          <w:spacing w:val="2"/>
          <w:shd w:val="clear" w:color="auto" w:fill="FFFFFF"/>
        </w:rPr>
        <w:t xml:space="preserve"> рублей, </w:t>
      </w:r>
      <w:r w:rsidR="0027685B" w:rsidRPr="00477867">
        <w:rPr>
          <w:rFonts w:ascii="Arial" w:hAnsi="Arial" w:cs="Arial"/>
          <w:color w:val="44464B"/>
          <w:spacing w:val="2"/>
          <w:shd w:val="clear" w:color="auto" w:fill="FFFFFF"/>
        </w:rPr>
        <w:t>на 1 января 2021 года – 90,7932 рублей, м</w:t>
      </w:r>
      <w:r w:rsidR="0027685B" w:rsidRPr="00477867">
        <w:rPr>
          <w:rStyle w:val="Subst"/>
          <w:rFonts w:ascii="Arial" w:hAnsi="Arial" w:cs="Arial"/>
          <w:b w:val="0"/>
          <w:bCs/>
          <w:i w:val="0"/>
          <w:iCs/>
        </w:rPr>
        <w:t xml:space="preserve">аксимальное значение в 2021 году </w:t>
      </w:r>
      <w:r w:rsidR="00477867" w:rsidRPr="00477867">
        <w:rPr>
          <w:rStyle w:val="Subst"/>
          <w:rFonts w:ascii="Arial" w:hAnsi="Arial" w:cs="Arial"/>
          <w:b w:val="0"/>
          <w:bCs/>
          <w:i w:val="0"/>
          <w:iCs/>
        </w:rPr>
        <w:t xml:space="preserve">– </w:t>
      </w:r>
      <w:r w:rsidR="0027685B" w:rsidRPr="00477867">
        <w:rPr>
          <w:rStyle w:val="Subst"/>
          <w:rFonts w:ascii="Arial" w:hAnsi="Arial" w:cs="Arial"/>
          <w:b w:val="0"/>
          <w:bCs/>
          <w:i w:val="0"/>
          <w:iCs/>
        </w:rPr>
        <w:t>92,3321 рублей</w:t>
      </w:r>
      <w:r w:rsidR="00477867" w:rsidRPr="00477867">
        <w:rPr>
          <w:rStyle w:val="Subst"/>
          <w:rFonts w:ascii="Arial" w:hAnsi="Arial" w:cs="Arial"/>
          <w:b w:val="0"/>
          <w:bCs/>
          <w:i w:val="0"/>
          <w:iCs/>
        </w:rPr>
        <w:t>)</w:t>
      </w:r>
      <w:r w:rsidR="0027685B" w:rsidRPr="00477867">
        <w:rPr>
          <w:rStyle w:val="Subst"/>
          <w:rFonts w:ascii="Arial" w:hAnsi="Arial" w:cs="Arial"/>
          <w:b w:val="0"/>
          <w:bCs/>
          <w:i w:val="0"/>
          <w:iCs/>
        </w:rPr>
        <w:t xml:space="preserve">. Курс доллара </w:t>
      </w:r>
      <w:r w:rsidR="00477867" w:rsidRPr="00477867">
        <w:rPr>
          <w:rStyle w:val="Subst"/>
          <w:rFonts w:ascii="Arial" w:hAnsi="Arial" w:cs="Arial"/>
          <w:b w:val="0"/>
          <w:bCs/>
          <w:i w:val="0"/>
          <w:iCs/>
        </w:rPr>
        <w:t>по отношению к рублю в 2021 году вырос незначительно (н</w:t>
      </w:r>
      <w:r w:rsidR="00164224" w:rsidRPr="00477867">
        <w:rPr>
          <w:rFonts w:ascii="Arial" w:hAnsi="Arial" w:cs="Arial"/>
          <w:color w:val="44464B"/>
          <w:spacing w:val="2"/>
          <w:shd w:val="clear" w:color="auto" w:fill="FFFFFF"/>
        </w:rPr>
        <w:t>а 31 декабря 202</w:t>
      </w:r>
      <w:r w:rsidR="00D96F57" w:rsidRPr="00477867">
        <w:rPr>
          <w:rFonts w:ascii="Arial" w:hAnsi="Arial" w:cs="Arial"/>
          <w:color w:val="44464B"/>
          <w:spacing w:val="2"/>
          <w:shd w:val="clear" w:color="auto" w:fill="FFFFFF"/>
        </w:rPr>
        <w:t>1</w:t>
      </w:r>
      <w:r w:rsidR="00164224" w:rsidRPr="00477867">
        <w:rPr>
          <w:rFonts w:ascii="Arial" w:hAnsi="Arial" w:cs="Arial"/>
          <w:color w:val="44464B"/>
          <w:spacing w:val="2"/>
          <w:shd w:val="clear" w:color="auto" w:fill="FFFFFF"/>
        </w:rPr>
        <w:t xml:space="preserve"> года к</w:t>
      </w:r>
      <w:r w:rsidR="00844F83" w:rsidRPr="00477867">
        <w:rPr>
          <w:rFonts w:ascii="Arial" w:hAnsi="Arial" w:cs="Arial"/>
          <w:color w:val="44464B"/>
          <w:spacing w:val="2"/>
          <w:shd w:val="clear" w:color="auto" w:fill="FFFFFF"/>
        </w:rPr>
        <w:t xml:space="preserve">урс доллара </w:t>
      </w:r>
      <w:r w:rsidR="00164224" w:rsidRPr="00477867">
        <w:rPr>
          <w:rFonts w:ascii="Arial" w:hAnsi="Arial" w:cs="Arial"/>
          <w:color w:val="44464B"/>
          <w:spacing w:val="2"/>
          <w:shd w:val="clear" w:color="auto" w:fill="FFFFFF"/>
        </w:rPr>
        <w:t>составил</w:t>
      </w:r>
      <w:r w:rsidR="00844F83" w:rsidRPr="00477867">
        <w:rPr>
          <w:rFonts w:ascii="Arial" w:hAnsi="Arial" w:cs="Arial"/>
          <w:color w:val="44464B"/>
          <w:spacing w:val="2"/>
          <w:shd w:val="clear" w:color="auto" w:fill="FFFFFF"/>
        </w:rPr>
        <w:t xml:space="preserve"> </w:t>
      </w:r>
      <w:r w:rsidR="00164224" w:rsidRPr="00477867">
        <w:rPr>
          <w:rFonts w:ascii="Arial" w:hAnsi="Arial" w:cs="Arial"/>
          <w:color w:val="44464B"/>
          <w:spacing w:val="2"/>
          <w:shd w:val="clear" w:color="auto" w:fill="FFFFFF"/>
        </w:rPr>
        <w:t>7</w:t>
      </w:r>
      <w:r w:rsidR="00D96F57" w:rsidRPr="00477867">
        <w:rPr>
          <w:rFonts w:ascii="Arial" w:hAnsi="Arial" w:cs="Arial"/>
          <w:color w:val="44464B"/>
          <w:spacing w:val="2"/>
          <w:shd w:val="clear" w:color="auto" w:fill="FFFFFF"/>
        </w:rPr>
        <w:t>4</w:t>
      </w:r>
      <w:r w:rsidR="00844F83" w:rsidRPr="00477867">
        <w:rPr>
          <w:rFonts w:ascii="Arial" w:hAnsi="Arial" w:cs="Arial"/>
          <w:color w:val="44464B"/>
          <w:spacing w:val="2"/>
          <w:shd w:val="clear" w:color="auto" w:fill="FFFFFF"/>
        </w:rPr>
        <w:t>,</w:t>
      </w:r>
      <w:r w:rsidR="00D96F57" w:rsidRPr="00477867">
        <w:rPr>
          <w:rFonts w:ascii="Arial" w:hAnsi="Arial" w:cs="Arial"/>
          <w:color w:val="44464B"/>
          <w:spacing w:val="2"/>
          <w:shd w:val="clear" w:color="auto" w:fill="FFFFFF"/>
        </w:rPr>
        <w:t>2926</w:t>
      </w:r>
      <w:r w:rsidR="00477867" w:rsidRPr="00477867">
        <w:rPr>
          <w:rFonts w:ascii="Arial" w:hAnsi="Arial" w:cs="Arial"/>
          <w:color w:val="44464B"/>
          <w:spacing w:val="2"/>
          <w:shd w:val="clear" w:color="auto" w:fill="FFFFFF"/>
        </w:rPr>
        <w:t xml:space="preserve"> рублей, </w:t>
      </w:r>
      <w:r w:rsidR="00164224" w:rsidRPr="00477867">
        <w:rPr>
          <w:rFonts w:ascii="Arial" w:hAnsi="Arial" w:cs="Arial"/>
          <w:color w:val="44464B"/>
          <w:spacing w:val="2"/>
          <w:shd w:val="clear" w:color="auto" w:fill="FFFFFF"/>
        </w:rPr>
        <w:t>на 1 января 202</w:t>
      </w:r>
      <w:r w:rsidR="00D96F57" w:rsidRPr="00477867">
        <w:rPr>
          <w:rFonts w:ascii="Arial" w:hAnsi="Arial" w:cs="Arial"/>
          <w:color w:val="44464B"/>
          <w:spacing w:val="2"/>
          <w:shd w:val="clear" w:color="auto" w:fill="FFFFFF"/>
        </w:rPr>
        <w:t>1</w:t>
      </w:r>
      <w:r w:rsidR="00164224" w:rsidRPr="00477867">
        <w:rPr>
          <w:rFonts w:ascii="Arial" w:hAnsi="Arial" w:cs="Arial"/>
          <w:color w:val="44464B"/>
          <w:spacing w:val="2"/>
          <w:shd w:val="clear" w:color="auto" w:fill="FFFFFF"/>
        </w:rPr>
        <w:t xml:space="preserve"> года – </w:t>
      </w:r>
      <w:r w:rsidR="00800D94" w:rsidRPr="00477867">
        <w:rPr>
          <w:rFonts w:ascii="Arial" w:hAnsi="Arial" w:cs="Arial"/>
          <w:color w:val="44464B"/>
          <w:spacing w:val="2"/>
          <w:shd w:val="clear" w:color="auto" w:fill="FFFFFF"/>
        </w:rPr>
        <w:t>73</w:t>
      </w:r>
      <w:r w:rsidR="00164224" w:rsidRPr="00477867">
        <w:rPr>
          <w:rFonts w:ascii="Arial" w:hAnsi="Arial" w:cs="Arial"/>
          <w:color w:val="44464B"/>
          <w:spacing w:val="2"/>
          <w:shd w:val="clear" w:color="auto" w:fill="FFFFFF"/>
        </w:rPr>
        <w:t>,</w:t>
      </w:r>
      <w:r w:rsidR="00800D94" w:rsidRPr="00477867">
        <w:rPr>
          <w:rFonts w:ascii="Arial" w:hAnsi="Arial" w:cs="Arial"/>
          <w:color w:val="44464B"/>
          <w:spacing w:val="2"/>
          <w:shd w:val="clear" w:color="auto" w:fill="FFFFFF"/>
        </w:rPr>
        <w:t>8757</w:t>
      </w:r>
      <w:r w:rsidR="00164224" w:rsidRPr="00477867">
        <w:rPr>
          <w:rFonts w:ascii="Arial" w:hAnsi="Arial" w:cs="Arial"/>
          <w:color w:val="44464B"/>
          <w:spacing w:val="2"/>
          <w:shd w:val="clear" w:color="auto" w:fill="FFFFFF"/>
        </w:rPr>
        <w:t xml:space="preserve"> рублей</w:t>
      </w:r>
      <w:r w:rsidR="00477867" w:rsidRPr="00477867">
        <w:rPr>
          <w:rFonts w:ascii="Arial" w:hAnsi="Arial" w:cs="Arial"/>
          <w:color w:val="44464B"/>
          <w:spacing w:val="2"/>
          <w:shd w:val="clear" w:color="auto" w:fill="FFFFFF"/>
        </w:rPr>
        <w:t>, м</w:t>
      </w:r>
      <w:r w:rsidR="004D5F28" w:rsidRPr="00477867">
        <w:rPr>
          <w:rStyle w:val="Subst"/>
          <w:rFonts w:ascii="Arial" w:hAnsi="Arial" w:cs="Arial"/>
          <w:b w:val="0"/>
          <w:bCs/>
          <w:i w:val="0"/>
          <w:iCs/>
        </w:rPr>
        <w:t>аксимальн</w:t>
      </w:r>
      <w:r w:rsidR="00477867" w:rsidRPr="00477867">
        <w:rPr>
          <w:rStyle w:val="Subst"/>
          <w:rFonts w:ascii="Arial" w:hAnsi="Arial" w:cs="Arial"/>
          <w:b w:val="0"/>
          <w:bCs/>
          <w:i w:val="0"/>
          <w:iCs/>
        </w:rPr>
        <w:t>ое</w:t>
      </w:r>
      <w:r w:rsidR="004D5F28" w:rsidRPr="00477867">
        <w:rPr>
          <w:rStyle w:val="Subst"/>
          <w:rFonts w:ascii="Arial" w:hAnsi="Arial" w:cs="Arial"/>
          <w:b w:val="0"/>
          <w:bCs/>
          <w:i w:val="0"/>
          <w:iCs/>
        </w:rPr>
        <w:t xml:space="preserve"> </w:t>
      </w:r>
      <w:r w:rsidR="00844F83" w:rsidRPr="00477867">
        <w:rPr>
          <w:rStyle w:val="Subst"/>
          <w:rFonts w:ascii="Arial" w:hAnsi="Arial" w:cs="Arial"/>
          <w:b w:val="0"/>
          <w:bCs/>
          <w:i w:val="0"/>
          <w:iCs/>
        </w:rPr>
        <w:t>значени</w:t>
      </w:r>
      <w:r w:rsidR="00477867" w:rsidRPr="00477867">
        <w:rPr>
          <w:rStyle w:val="Subst"/>
          <w:rFonts w:ascii="Arial" w:hAnsi="Arial" w:cs="Arial"/>
          <w:b w:val="0"/>
          <w:bCs/>
          <w:i w:val="0"/>
          <w:iCs/>
        </w:rPr>
        <w:t>е</w:t>
      </w:r>
      <w:r w:rsidR="004D5F28" w:rsidRPr="00477867">
        <w:rPr>
          <w:rStyle w:val="Subst"/>
          <w:rFonts w:ascii="Arial" w:hAnsi="Arial" w:cs="Arial"/>
          <w:b w:val="0"/>
          <w:bCs/>
          <w:i w:val="0"/>
          <w:iCs/>
        </w:rPr>
        <w:t xml:space="preserve"> в 202</w:t>
      </w:r>
      <w:r w:rsidR="00800D94" w:rsidRPr="00477867">
        <w:rPr>
          <w:rStyle w:val="Subst"/>
          <w:rFonts w:ascii="Arial" w:hAnsi="Arial" w:cs="Arial"/>
          <w:b w:val="0"/>
          <w:bCs/>
          <w:i w:val="0"/>
          <w:iCs/>
        </w:rPr>
        <w:t>1</w:t>
      </w:r>
      <w:r w:rsidR="004D5F28" w:rsidRPr="00477867">
        <w:rPr>
          <w:rStyle w:val="Subst"/>
          <w:rFonts w:ascii="Arial" w:hAnsi="Arial" w:cs="Arial"/>
          <w:b w:val="0"/>
          <w:bCs/>
          <w:i w:val="0"/>
          <w:iCs/>
        </w:rPr>
        <w:t xml:space="preserve"> году </w:t>
      </w:r>
      <w:r w:rsidR="00477867" w:rsidRPr="00477867">
        <w:rPr>
          <w:rStyle w:val="Subst"/>
          <w:rFonts w:ascii="Arial" w:hAnsi="Arial" w:cs="Arial"/>
          <w:b w:val="0"/>
          <w:bCs/>
          <w:i w:val="0"/>
          <w:iCs/>
        </w:rPr>
        <w:t xml:space="preserve">– </w:t>
      </w:r>
      <w:r w:rsidR="00800D94" w:rsidRPr="00477867">
        <w:rPr>
          <w:rStyle w:val="Subst"/>
          <w:rFonts w:ascii="Arial" w:hAnsi="Arial" w:cs="Arial"/>
          <w:b w:val="0"/>
          <w:bCs/>
          <w:i w:val="0"/>
          <w:iCs/>
        </w:rPr>
        <w:t>77</w:t>
      </w:r>
      <w:r w:rsidR="004D5F28" w:rsidRPr="00477867">
        <w:rPr>
          <w:rStyle w:val="Subst"/>
          <w:rFonts w:ascii="Arial" w:hAnsi="Arial" w:cs="Arial"/>
          <w:b w:val="0"/>
          <w:bCs/>
          <w:i w:val="0"/>
          <w:iCs/>
        </w:rPr>
        <w:t>,</w:t>
      </w:r>
      <w:r w:rsidR="00800D94" w:rsidRPr="00477867">
        <w:rPr>
          <w:rStyle w:val="Subst"/>
          <w:rFonts w:ascii="Arial" w:hAnsi="Arial" w:cs="Arial"/>
          <w:b w:val="0"/>
          <w:bCs/>
          <w:i w:val="0"/>
          <w:iCs/>
        </w:rPr>
        <w:t>773</w:t>
      </w:r>
      <w:r w:rsidR="004D5F28" w:rsidRPr="00477867">
        <w:rPr>
          <w:rStyle w:val="Subst"/>
          <w:rFonts w:ascii="Arial" w:hAnsi="Arial" w:cs="Arial"/>
          <w:b w:val="0"/>
          <w:bCs/>
          <w:i w:val="0"/>
          <w:iCs/>
        </w:rPr>
        <w:t xml:space="preserve"> рублей</w:t>
      </w:r>
      <w:r w:rsidR="00477867" w:rsidRPr="00477867">
        <w:rPr>
          <w:rStyle w:val="Subst"/>
          <w:rFonts w:ascii="Arial" w:hAnsi="Arial" w:cs="Arial"/>
          <w:b w:val="0"/>
          <w:bCs/>
          <w:i w:val="0"/>
          <w:iCs/>
        </w:rPr>
        <w:t>)</w:t>
      </w:r>
      <w:r w:rsidR="00844F83" w:rsidRPr="00477867">
        <w:rPr>
          <w:rStyle w:val="Subst"/>
          <w:rFonts w:ascii="Arial" w:hAnsi="Arial" w:cs="Arial"/>
          <w:b w:val="0"/>
          <w:bCs/>
          <w:i w:val="0"/>
          <w:iCs/>
        </w:rPr>
        <w:t xml:space="preserve">. </w:t>
      </w:r>
      <w:r w:rsidR="002B75B1">
        <w:rPr>
          <w:rStyle w:val="Subst"/>
          <w:rFonts w:ascii="Arial" w:hAnsi="Arial" w:cs="Arial"/>
          <w:b w:val="0"/>
          <w:bCs/>
          <w:i w:val="0"/>
          <w:iCs/>
        </w:rPr>
        <w:t xml:space="preserve">В результате колебания курсов валют в 2021 году </w:t>
      </w:r>
      <w:r w:rsidRPr="00477867">
        <w:rPr>
          <w:rStyle w:val="Subst"/>
          <w:rFonts w:ascii="Arial" w:hAnsi="Arial" w:cs="Arial"/>
          <w:b w:val="0"/>
          <w:bCs/>
          <w:i w:val="0"/>
          <w:iCs/>
        </w:rPr>
        <w:t>привел</w:t>
      </w:r>
      <w:r w:rsidR="002B75B1">
        <w:rPr>
          <w:rStyle w:val="Subst"/>
          <w:rFonts w:ascii="Arial" w:hAnsi="Arial" w:cs="Arial"/>
          <w:b w:val="0"/>
          <w:bCs/>
          <w:i w:val="0"/>
          <w:iCs/>
        </w:rPr>
        <w:t>и</w:t>
      </w:r>
      <w:r w:rsidRPr="00477867">
        <w:rPr>
          <w:rStyle w:val="Subst"/>
          <w:rFonts w:ascii="Arial" w:hAnsi="Arial" w:cs="Arial"/>
          <w:b w:val="0"/>
          <w:bCs/>
          <w:i w:val="0"/>
          <w:iCs/>
        </w:rPr>
        <w:t xml:space="preserve"> к возникновению </w:t>
      </w:r>
      <w:r w:rsidR="002B75B1">
        <w:rPr>
          <w:rStyle w:val="Subst"/>
          <w:rFonts w:ascii="Arial" w:hAnsi="Arial" w:cs="Arial"/>
          <w:b w:val="0"/>
          <w:bCs/>
          <w:i w:val="0"/>
          <w:iCs/>
        </w:rPr>
        <w:t>положительных</w:t>
      </w:r>
      <w:r w:rsidRPr="00477867">
        <w:rPr>
          <w:rStyle w:val="Subst"/>
          <w:rFonts w:ascii="Arial" w:hAnsi="Arial" w:cs="Arial"/>
          <w:b w:val="0"/>
          <w:bCs/>
          <w:i w:val="0"/>
          <w:iCs/>
        </w:rPr>
        <w:t xml:space="preserve"> </w:t>
      </w:r>
      <w:r w:rsidR="002B75B1" w:rsidRPr="00477867">
        <w:rPr>
          <w:rStyle w:val="Subst"/>
          <w:rFonts w:ascii="Arial" w:hAnsi="Arial" w:cs="Arial"/>
          <w:b w:val="0"/>
          <w:bCs/>
          <w:i w:val="0"/>
          <w:iCs/>
        </w:rPr>
        <w:t>курсовых разниц</w:t>
      </w:r>
      <w:r w:rsidRPr="00477867">
        <w:rPr>
          <w:rStyle w:val="Subst"/>
          <w:rFonts w:ascii="Arial" w:hAnsi="Arial" w:cs="Arial"/>
          <w:b w:val="0"/>
          <w:bCs/>
          <w:i w:val="0"/>
          <w:iCs/>
        </w:rPr>
        <w:t>.</w:t>
      </w:r>
    </w:p>
    <w:p w:rsidR="00C42A31" w:rsidRPr="00F50826"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 xml:space="preserve">Вероятность </w:t>
      </w:r>
      <w:r w:rsidR="00F50826" w:rsidRPr="00F50826">
        <w:rPr>
          <w:rStyle w:val="Subst"/>
          <w:rFonts w:ascii="Arial" w:hAnsi="Arial" w:cs="Arial"/>
          <w:b w:val="0"/>
          <w:bCs/>
          <w:i w:val="0"/>
          <w:iCs/>
        </w:rPr>
        <w:t xml:space="preserve">дальнейшего </w:t>
      </w:r>
      <w:r w:rsidR="004A1F7F" w:rsidRPr="00F50826">
        <w:rPr>
          <w:rStyle w:val="Subst"/>
          <w:rFonts w:ascii="Arial" w:hAnsi="Arial" w:cs="Arial"/>
          <w:b w:val="0"/>
          <w:bCs/>
          <w:i w:val="0"/>
          <w:iCs/>
        </w:rPr>
        <w:t>измене</w:t>
      </w:r>
      <w:r w:rsidRPr="00F50826">
        <w:rPr>
          <w:rStyle w:val="Subst"/>
          <w:rFonts w:ascii="Arial" w:hAnsi="Arial" w:cs="Arial"/>
          <w:b w:val="0"/>
          <w:bCs/>
          <w:i w:val="0"/>
          <w:iCs/>
        </w:rPr>
        <w:t xml:space="preserve">ния курса национальной валюты сохраняется, и в таком случае затраты и обязательства ПАО «КМЗ» могут </w:t>
      </w:r>
      <w:r w:rsidR="004A1F7F" w:rsidRPr="00F50826">
        <w:rPr>
          <w:rStyle w:val="Subst"/>
          <w:rFonts w:ascii="Arial" w:hAnsi="Arial" w:cs="Arial"/>
          <w:b w:val="0"/>
          <w:bCs/>
          <w:i w:val="0"/>
          <w:iCs/>
        </w:rPr>
        <w:t>измениться</w:t>
      </w:r>
      <w:r w:rsidRPr="00F50826">
        <w:rPr>
          <w:rStyle w:val="Subst"/>
          <w:rFonts w:ascii="Arial" w:hAnsi="Arial" w:cs="Arial"/>
          <w:b w:val="0"/>
          <w:bCs/>
          <w:i w:val="0"/>
          <w:iCs/>
        </w:rPr>
        <w:t xml:space="preserve"> в рублевом выражении, что, в свою очередь, </w:t>
      </w:r>
      <w:r w:rsidR="00F50826" w:rsidRPr="00F50826">
        <w:rPr>
          <w:rStyle w:val="Subst"/>
          <w:rFonts w:ascii="Arial" w:hAnsi="Arial" w:cs="Arial"/>
          <w:b w:val="0"/>
          <w:bCs/>
          <w:i w:val="0"/>
          <w:iCs/>
        </w:rPr>
        <w:t>может отразиться</w:t>
      </w:r>
      <w:r w:rsidRPr="00F50826">
        <w:rPr>
          <w:rStyle w:val="Subst"/>
          <w:rFonts w:ascii="Arial" w:hAnsi="Arial" w:cs="Arial"/>
          <w:b w:val="0"/>
          <w:bCs/>
          <w:i w:val="0"/>
          <w:iCs/>
        </w:rPr>
        <w:t xml:space="preserve"> на результате деятельности </w:t>
      </w:r>
      <w:r w:rsidR="00F50826" w:rsidRPr="00F50826">
        <w:rPr>
          <w:rStyle w:val="Subst"/>
          <w:rFonts w:ascii="Arial" w:hAnsi="Arial" w:cs="Arial"/>
          <w:b w:val="0"/>
          <w:bCs/>
          <w:i w:val="0"/>
          <w:iCs/>
        </w:rPr>
        <w:t>Общества</w:t>
      </w:r>
      <w:r w:rsidRPr="00F50826">
        <w:rPr>
          <w:rStyle w:val="Subst"/>
          <w:rFonts w:ascii="Arial" w:hAnsi="Arial" w:cs="Arial"/>
          <w:b w:val="0"/>
          <w:bCs/>
          <w:i w:val="0"/>
          <w:iCs/>
        </w:rPr>
        <w:t xml:space="preserve">. </w:t>
      </w:r>
      <w:r w:rsidR="004A1F7F" w:rsidRPr="00F50826">
        <w:rPr>
          <w:rStyle w:val="Subst"/>
          <w:rFonts w:ascii="Arial" w:hAnsi="Arial" w:cs="Arial"/>
          <w:b w:val="0"/>
          <w:bCs/>
          <w:i w:val="0"/>
          <w:iCs/>
        </w:rPr>
        <w:t>В результате колебаний валютных курсов финансовые результаты ПАО «КМЗ», связанные с расчетами в иностранной валюте, а также денежными средствами, номинированными в иностранной валюте, могут быть переоценены с отрицательным эффектом</w:t>
      </w:r>
      <w:r w:rsidRPr="00F50826">
        <w:rPr>
          <w:rStyle w:val="Subst"/>
          <w:rFonts w:ascii="Arial" w:hAnsi="Arial" w:cs="Arial"/>
          <w:b w:val="0"/>
          <w:bCs/>
          <w:i w:val="0"/>
          <w:iCs/>
        </w:rPr>
        <w:t>.</w:t>
      </w:r>
    </w:p>
    <w:p w:rsidR="00C42A31" w:rsidRPr="005A7B47" w:rsidRDefault="00C42A31" w:rsidP="00C42A31">
      <w:pPr>
        <w:spacing w:before="120" w:after="120"/>
        <w:ind w:firstLine="709"/>
        <w:jc w:val="both"/>
        <w:rPr>
          <w:rStyle w:val="Subst"/>
          <w:rFonts w:ascii="Arial" w:hAnsi="Arial" w:cs="Arial"/>
          <w:b w:val="0"/>
          <w:bCs/>
          <w:i w:val="0"/>
          <w:iCs/>
        </w:rPr>
      </w:pPr>
      <w:r w:rsidRPr="00F50826">
        <w:rPr>
          <w:rStyle w:val="Subst"/>
          <w:rFonts w:ascii="Arial" w:hAnsi="Arial" w:cs="Arial"/>
          <w:b w:val="0"/>
          <w:bCs/>
          <w:i w:val="0"/>
          <w:iCs/>
        </w:rPr>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FB6A3E" w:rsidRDefault="00C42A31" w:rsidP="00C42A31">
      <w:pPr>
        <w:spacing w:before="120" w:after="120"/>
        <w:ind w:firstLine="709"/>
        <w:jc w:val="both"/>
        <w:rPr>
          <w:rStyle w:val="Subst"/>
          <w:rFonts w:ascii="Arial" w:hAnsi="Arial" w:cs="Arial"/>
          <w:b w:val="0"/>
          <w:bCs/>
          <w:iCs/>
        </w:rPr>
      </w:pPr>
      <w:r w:rsidRPr="00FB6A3E">
        <w:rPr>
          <w:rStyle w:val="Subst"/>
          <w:rFonts w:ascii="Arial" w:hAnsi="Arial" w:cs="Arial"/>
          <w:bCs/>
          <w:iCs/>
        </w:rPr>
        <w:t>Процентные ставки</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«КМЗ», связанных с увеличением расходов по обслуживанию кредитного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FB6A3E" w:rsidRDefault="00C42A31" w:rsidP="00C42A31">
      <w:pPr>
        <w:spacing w:before="120" w:after="120"/>
        <w:ind w:firstLine="709"/>
        <w:jc w:val="both"/>
        <w:rPr>
          <w:rStyle w:val="Subst"/>
          <w:rFonts w:ascii="Arial" w:hAnsi="Arial" w:cs="Arial"/>
          <w:b w:val="0"/>
          <w:bCs/>
          <w:iCs/>
        </w:rPr>
      </w:pPr>
      <w:r w:rsidRPr="00FB6A3E">
        <w:rPr>
          <w:rStyle w:val="Subst"/>
          <w:rFonts w:ascii="Arial" w:hAnsi="Arial" w:cs="Arial"/>
          <w:bCs/>
          <w:iCs/>
        </w:rPr>
        <w:t>Инфляция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Инфляционный риск – это риск того, что при росте инфляции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средне- и долгосрочной перспективе.</w:t>
      </w:r>
    </w:p>
    <w:p w:rsidR="00C42A31" w:rsidRPr="007A59BC" w:rsidRDefault="00C42A31" w:rsidP="00C42A31">
      <w:pPr>
        <w:spacing w:before="120" w:after="120"/>
        <w:ind w:firstLine="709"/>
        <w:jc w:val="both"/>
        <w:rPr>
          <w:rFonts w:ascii="Arial" w:hAnsi="Arial" w:cs="Arial"/>
        </w:rPr>
      </w:pPr>
      <w:r w:rsidRPr="007A59BC">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7A59BC" w:rsidRDefault="00C42A31" w:rsidP="00C42A31">
      <w:pPr>
        <w:spacing w:before="120" w:after="120"/>
        <w:ind w:firstLine="709"/>
        <w:jc w:val="both"/>
        <w:rPr>
          <w:rFonts w:ascii="Arial" w:hAnsi="Arial" w:cs="Arial"/>
          <w:b/>
        </w:rPr>
      </w:pPr>
    </w:p>
    <w:p w:rsidR="00C42A31" w:rsidRPr="007A59BC" w:rsidRDefault="00C42A31" w:rsidP="00C42A31">
      <w:pPr>
        <w:pStyle w:val="2"/>
        <w:spacing w:before="120" w:after="120"/>
        <w:rPr>
          <w:rFonts w:ascii="Arial" w:hAnsi="Arial" w:cs="Arial"/>
          <w:i/>
          <w:color w:val="auto"/>
          <w:sz w:val="28"/>
          <w:szCs w:val="28"/>
        </w:rPr>
      </w:pPr>
      <w:bookmarkStart w:id="48" w:name="_Toc415487686"/>
      <w:bookmarkStart w:id="49" w:name="_Toc100678755"/>
      <w:r w:rsidRPr="00FB6A3E">
        <w:rPr>
          <w:rFonts w:ascii="Arial" w:hAnsi="Arial" w:cs="Arial"/>
          <w:i/>
          <w:color w:val="auto"/>
          <w:sz w:val="28"/>
          <w:szCs w:val="28"/>
        </w:rPr>
        <w:t>Правовые риски</w:t>
      </w:r>
      <w:bookmarkEnd w:id="48"/>
      <w:bookmarkEnd w:id="49"/>
    </w:p>
    <w:p w:rsidR="00C42A31" w:rsidRPr="007A59BC" w:rsidRDefault="00C42A31" w:rsidP="00C42A31">
      <w:pPr>
        <w:spacing w:before="120" w:after="120"/>
        <w:ind w:firstLine="709"/>
        <w:jc w:val="both"/>
        <w:rPr>
          <w:rFonts w:ascii="Arial" w:hAnsi="Arial" w:cs="Arial"/>
        </w:rPr>
      </w:pPr>
      <w:r w:rsidRPr="007A59BC">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7A59BC" w:rsidRDefault="00C42A31" w:rsidP="00C42A31">
      <w:pPr>
        <w:spacing w:before="120" w:after="120"/>
        <w:ind w:firstLine="709"/>
        <w:jc w:val="both"/>
        <w:rPr>
          <w:rFonts w:ascii="Arial" w:hAnsi="Arial" w:cs="Arial"/>
        </w:rPr>
      </w:pPr>
      <w:r w:rsidRPr="007A59BC">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7A59BC" w:rsidRDefault="00C42A31" w:rsidP="00C42A31">
      <w:pPr>
        <w:spacing w:before="120" w:after="120"/>
        <w:ind w:firstLine="709"/>
        <w:jc w:val="both"/>
        <w:rPr>
          <w:rFonts w:ascii="Arial" w:hAnsi="Arial" w:cs="Arial"/>
        </w:rPr>
      </w:pPr>
      <w:r w:rsidRPr="007A59BC">
        <w:rPr>
          <w:rFonts w:ascii="Arial" w:hAnsi="Arial" w:cs="Arial"/>
        </w:rPr>
        <w:t>– налоговое законодательство (в части изменения порядка налогообложения и ставок налогов);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Pr="007A59BC" w:rsidRDefault="00C42A31" w:rsidP="00C42A31">
      <w:pPr>
        <w:spacing w:before="120" w:after="120"/>
        <w:ind w:firstLine="709"/>
        <w:jc w:val="both"/>
        <w:rPr>
          <w:rFonts w:ascii="Arial" w:hAnsi="Arial" w:cs="Arial"/>
        </w:rPr>
      </w:pPr>
      <w:r w:rsidRPr="007A59BC">
        <w:rPr>
          <w:rFonts w:ascii="Arial" w:hAnsi="Arial" w:cs="Arial"/>
        </w:rPr>
        <w:t>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7A59BC" w:rsidRDefault="0067067F" w:rsidP="00C42A31">
      <w:pPr>
        <w:spacing w:before="120" w:after="120"/>
        <w:ind w:firstLine="709"/>
        <w:jc w:val="both"/>
        <w:rPr>
          <w:rFonts w:ascii="Arial" w:hAnsi="Arial" w:cs="Arial"/>
        </w:rPr>
      </w:pPr>
    </w:p>
    <w:p w:rsidR="00C42A31" w:rsidRPr="00FB6A3E" w:rsidRDefault="00C42A31" w:rsidP="00C42A31">
      <w:pPr>
        <w:pStyle w:val="2"/>
        <w:spacing w:before="120" w:after="120"/>
        <w:rPr>
          <w:rFonts w:ascii="Arial" w:hAnsi="Arial" w:cs="Arial"/>
          <w:i/>
          <w:color w:val="auto"/>
          <w:sz w:val="28"/>
          <w:szCs w:val="28"/>
        </w:rPr>
      </w:pPr>
      <w:bookmarkStart w:id="50" w:name="_Toc100678756"/>
      <w:r w:rsidRPr="00FB6A3E">
        <w:rPr>
          <w:rFonts w:ascii="Arial" w:hAnsi="Arial" w:cs="Arial"/>
          <w:i/>
          <w:color w:val="auto"/>
          <w:sz w:val="28"/>
          <w:szCs w:val="28"/>
        </w:rPr>
        <w:t>Риск потери деловой репутации</w:t>
      </w:r>
      <w:bookmarkEnd w:id="50"/>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xml:space="preserve">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w:t>
      </w:r>
      <w:r w:rsidR="00F858AD" w:rsidRPr="007A59BC">
        <w:rPr>
          <w:rStyle w:val="Subst"/>
          <w:rFonts w:ascii="Arial" w:hAnsi="Arial" w:cs="Arial"/>
          <w:b w:val="0"/>
          <w:bCs/>
          <w:i w:val="0"/>
          <w:iCs/>
        </w:rPr>
        <w:t>при осуществлении предприятием</w:t>
      </w:r>
      <w:r w:rsidRPr="007A59BC">
        <w:rPr>
          <w:rStyle w:val="Subst"/>
          <w:rFonts w:ascii="Arial" w:hAnsi="Arial" w:cs="Arial"/>
          <w:b w:val="0"/>
          <w:bCs/>
          <w:i w:val="0"/>
          <w:iCs/>
        </w:rPr>
        <w:t xml:space="preserve"> </w:t>
      </w:r>
      <w:r w:rsidR="00F858AD" w:rsidRPr="007A59BC">
        <w:rPr>
          <w:rStyle w:val="Subst"/>
          <w:rFonts w:ascii="Arial" w:hAnsi="Arial" w:cs="Arial"/>
          <w:b w:val="0"/>
          <w:bCs/>
          <w:i w:val="0"/>
          <w:iCs/>
        </w:rPr>
        <w:t xml:space="preserve">своей </w:t>
      </w:r>
      <w:r w:rsidRPr="007A59BC">
        <w:rPr>
          <w:rStyle w:val="Subst"/>
          <w:rFonts w:ascii="Arial" w:hAnsi="Arial" w:cs="Arial"/>
          <w:b w:val="0"/>
          <w:bCs/>
          <w:i w:val="0"/>
          <w:iCs/>
        </w:rPr>
        <w:t>деятельности.</w:t>
      </w:r>
    </w:p>
    <w:p w:rsidR="0067067F" w:rsidRPr="007A59BC" w:rsidRDefault="0067067F" w:rsidP="00C42A31">
      <w:pPr>
        <w:spacing w:before="120" w:after="120"/>
        <w:ind w:firstLine="709"/>
        <w:jc w:val="both"/>
        <w:rPr>
          <w:rFonts w:ascii="Arial" w:hAnsi="Arial" w:cs="Arial"/>
          <w:b/>
          <w:i/>
        </w:rPr>
      </w:pPr>
    </w:p>
    <w:p w:rsidR="00C42A31" w:rsidRPr="00FB6A3E" w:rsidRDefault="00C42A31" w:rsidP="00C42A31">
      <w:pPr>
        <w:pStyle w:val="2"/>
        <w:spacing w:before="120" w:after="120"/>
        <w:rPr>
          <w:rFonts w:ascii="Arial" w:hAnsi="Arial" w:cs="Arial"/>
          <w:i/>
          <w:color w:val="auto"/>
          <w:sz w:val="28"/>
          <w:szCs w:val="28"/>
        </w:rPr>
      </w:pPr>
      <w:bookmarkStart w:id="51" w:name="_Toc100678757"/>
      <w:r w:rsidRPr="00FB6A3E">
        <w:rPr>
          <w:rFonts w:ascii="Arial" w:hAnsi="Arial" w:cs="Arial"/>
          <w:i/>
          <w:color w:val="auto"/>
          <w:sz w:val="28"/>
          <w:szCs w:val="28"/>
        </w:rPr>
        <w:t>Стратегически</w:t>
      </w:r>
      <w:r w:rsidR="00FE3054" w:rsidRPr="00FB6A3E">
        <w:rPr>
          <w:rFonts w:ascii="Arial" w:hAnsi="Arial" w:cs="Arial"/>
          <w:i/>
          <w:color w:val="auto"/>
          <w:sz w:val="28"/>
          <w:szCs w:val="28"/>
        </w:rPr>
        <w:t>е</w:t>
      </w:r>
      <w:r w:rsidRPr="00FB6A3E">
        <w:rPr>
          <w:rFonts w:ascii="Arial" w:hAnsi="Arial" w:cs="Arial"/>
          <w:i/>
          <w:color w:val="auto"/>
          <w:sz w:val="28"/>
          <w:szCs w:val="28"/>
        </w:rPr>
        <w:t xml:space="preserve"> риск</w:t>
      </w:r>
      <w:r w:rsidR="00FE3054" w:rsidRPr="00FB6A3E">
        <w:rPr>
          <w:rFonts w:ascii="Arial" w:hAnsi="Arial" w:cs="Arial"/>
          <w:i/>
          <w:color w:val="auto"/>
          <w:sz w:val="28"/>
          <w:szCs w:val="28"/>
        </w:rPr>
        <w:t>и</w:t>
      </w:r>
      <w:bookmarkEnd w:id="51"/>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 xml:space="preserve">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w:t>
      </w:r>
      <w:r w:rsidR="00F858AD" w:rsidRPr="007A59BC">
        <w:rPr>
          <w:rStyle w:val="Subst"/>
          <w:rFonts w:ascii="Arial" w:hAnsi="Arial" w:cs="Arial"/>
          <w:b w:val="0"/>
          <w:bCs/>
          <w:i w:val="0"/>
          <w:iCs/>
        </w:rPr>
        <w:t>по сравнению с которыми Общество имеет</w:t>
      </w:r>
      <w:r w:rsidRPr="007A59BC">
        <w:rPr>
          <w:rStyle w:val="Subst"/>
          <w:rFonts w:ascii="Arial" w:hAnsi="Arial" w:cs="Arial"/>
          <w:b w:val="0"/>
          <w:bCs/>
          <w:i w:val="0"/>
          <w:iCs/>
        </w:rPr>
        <w:t xml:space="preserve"> возможность быстро перенастраивать оборудование на выполнение заказов малых и средних объемов в широком диапазоне марок чугуна.</w:t>
      </w:r>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7A59BC" w:rsidRDefault="0067067F" w:rsidP="00C42A31">
      <w:pPr>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rPr>
      </w:pPr>
      <w:bookmarkStart w:id="52" w:name="_Toc415487687"/>
      <w:bookmarkStart w:id="53" w:name="_Toc100678758"/>
      <w:r w:rsidRPr="007607FA">
        <w:rPr>
          <w:rFonts w:ascii="Arial" w:hAnsi="Arial" w:cs="Arial"/>
          <w:i/>
          <w:color w:val="auto"/>
          <w:sz w:val="28"/>
        </w:rPr>
        <w:lastRenderedPageBreak/>
        <w:t>Риски, связанные с деятельностью ПАО «КМЗ»</w:t>
      </w:r>
      <w:bookmarkEnd w:id="52"/>
      <w:bookmarkEnd w:id="53"/>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67067F" w:rsidRPr="00044C17" w:rsidRDefault="00C42A31" w:rsidP="00780F65">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имеет многолетнюю историю и большой опыт работы в сфере основной деятельности, надежные связи с поставщиками и покупателями продукции.</w:t>
      </w:r>
      <w:bookmarkStart w:id="54" w:name="_Toc415487688"/>
    </w:p>
    <w:p w:rsidR="001B2C1F" w:rsidRPr="00044C17" w:rsidRDefault="001B2C1F" w:rsidP="00780F65">
      <w:pPr>
        <w:spacing w:before="120" w:after="120"/>
        <w:ind w:firstLine="709"/>
        <w:jc w:val="both"/>
        <w:rPr>
          <w:rStyle w:val="Subst"/>
          <w:rFonts w:ascii="Arial" w:hAnsi="Arial" w:cs="Arial"/>
          <w:b w:val="0"/>
          <w:bCs/>
          <w:i w:val="0"/>
          <w:iCs/>
        </w:rPr>
      </w:pPr>
    </w:p>
    <w:p w:rsidR="000B662C" w:rsidRPr="00261690" w:rsidRDefault="000B662C" w:rsidP="00530215">
      <w:pPr>
        <w:pStyle w:val="1"/>
        <w:spacing w:before="120" w:after="120"/>
        <w:rPr>
          <w:rFonts w:ascii="Arial" w:hAnsi="Arial" w:cs="Arial"/>
          <w:sz w:val="32"/>
        </w:rPr>
      </w:pPr>
      <w:bookmarkStart w:id="55" w:name="_Toc100678759"/>
      <w:r w:rsidRPr="00261690">
        <w:rPr>
          <w:rFonts w:ascii="Arial" w:hAnsi="Arial" w:cs="Arial"/>
          <w:sz w:val="32"/>
        </w:rPr>
        <w:t>Перечень совершенных Обществом в отчетном году сделок,</w:t>
      </w:r>
      <w:r w:rsidR="0051139F" w:rsidRPr="00261690">
        <w:rPr>
          <w:rFonts w:ascii="Arial" w:hAnsi="Arial" w:cs="Arial"/>
          <w:sz w:val="32"/>
        </w:rPr>
        <w:t xml:space="preserve"> </w:t>
      </w:r>
      <w:r w:rsidRPr="00261690">
        <w:rPr>
          <w:rFonts w:ascii="Arial" w:hAnsi="Arial" w:cs="Arial"/>
          <w:sz w:val="32"/>
        </w:rPr>
        <w:t>признаваемых в соответствии с Федеральным законом «Об акционерных обществах» крупными сделками, а также ин</w:t>
      </w:r>
      <w:r w:rsidR="0079710D" w:rsidRPr="00261690">
        <w:rPr>
          <w:rFonts w:ascii="Arial" w:hAnsi="Arial" w:cs="Arial"/>
          <w:sz w:val="32"/>
        </w:rPr>
        <w:t xml:space="preserve">ых сделок, на </w:t>
      </w:r>
      <w:r w:rsidRPr="00261690">
        <w:rPr>
          <w:rFonts w:ascii="Arial" w:hAnsi="Arial" w:cs="Arial"/>
          <w:sz w:val="32"/>
        </w:rPr>
        <w:t>совершение которых в соответствии с уставом акционерного общества распространяется порядок одобрения крупных сделок</w:t>
      </w:r>
      <w:bookmarkEnd w:id="54"/>
      <w:bookmarkEnd w:id="55"/>
    </w:p>
    <w:p w:rsidR="00C1537B" w:rsidRPr="00261690" w:rsidRDefault="00C1537B" w:rsidP="00C1537B">
      <w:pPr>
        <w:pStyle w:val="a5"/>
        <w:spacing w:before="120" w:after="120"/>
        <w:ind w:firstLine="709"/>
        <w:rPr>
          <w:rFonts w:ascii="Arial" w:hAnsi="Arial" w:cs="Arial"/>
          <w:szCs w:val="22"/>
        </w:rPr>
      </w:pPr>
      <w:r w:rsidRPr="00261690">
        <w:rPr>
          <w:rFonts w:ascii="Arial" w:hAnsi="Arial" w:cs="Arial"/>
          <w:szCs w:val="22"/>
        </w:rPr>
        <w:t>В 2021 году указанные сделки Обществом не совершались.</w:t>
      </w:r>
    </w:p>
    <w:p w:rsidR="001B2C1F" w:rsidRPr="00261690" w:rsidRDefault="001B2C1F" w:rsidP="00530215">
      <w:pPr>
        <w:pStyle w:val="a5"/>
        <w:spacing w:before="120" w:after="120"/>
        <w:ind w:firstLine="709"/>
        <w:rPr>
          <w:rFonts w:ascii="Arial" w:hAnsi="Arial" w:cs="Arial"/>
          <w:b/>
          <w:bCs/>
          <w:szCs w:val="22"/>
        </w:rPr>
      </w:pPr>
    </w:p>
    <w:p w:rsidR="000B662C" w:rsidRPr="00261690" w:rsidRDefault="000B662C" w:rsidP="00530215">
      <w:pPr>
        <w:pStyle w:val="1"/>
        <w:spacing w:before="120" w:after="120"/>
        <w:rPr>
          <w:rFonts w:ascii="Arial" w:hAnsi="Arial" w:cs="Arial"/>
          <w:sz w:val="32"/>
        </w:rPr>
      </w:pPr>
      <w:bookmarkStart w:id="56" w:name="_Toc415487689"/>
      <w:bookmarkStart w:id="57" w:name="_Toc100678760"/>
      <w:r w:rsidRPr="00261690">
        <w:rPr>
          <w:rFonts w:ascii="Arial" w:hAnsi="Arial" w:cs="Arial"/>
          <w:sz w:val="32"/>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bookmarkEnd w:id="56"/>
      <w:bookmarkEnd w:id="57"/>
    </w:p>
    <w:p w:rsidR="00C1537B" w:rsidRDefault="00C1537B" w:rsidP="00C1537B">
      <w:pPr>
        <w:pStyle w:val="a5"/>
        <w:spacing w:before="120" w:after="120"/>
        <w:ind w:firstLine="709"/>
        <w:rPr>
          <w:rFonts w:ascii="Arial" w:hAnsi="Arial" w:cs="Arial"/>
          <w:szCs w:val="22"/>
        </w:rPr>
      </w:pPr>
      <w:bookmarkStart w:id="58" w:name="_Toc415487690"/>
      <w:r w:rsidRPr="00261690">
        <w:rPr>
          <w:rFonts w:ascii="Arial" w:hAnsi="Arial" w:cs="Arial"/>
          <w:szCs w:val="22"/>
        </w:rPr>
        <w:t>В 2021 году указанные сделки Обществом не совершались.</w:t>
      </w:r>
    </w:p>
    <w:p w:rsidR="001B2C1F" w:rsidRPr="00DD0E6F" w:rsidRDefault="001B2C1F" w:rsidP="00895F3F">
      <w:pPr>
        <w:pStyle w:val="a5"/>
        <w:spacing w:before="120" w:after="120"/>
        <w:ind w:firstLine="709"/>
        <w:rPr>
          <w:rFonts w:ascii="Arial" w:hAnsi="Arial" w:cs="Arial"/>
          <w:b/>
          <w:bCs/>
          <w:sz w:val="32"/>
        </w:rPr>
      </w:pPr>
    </w:p>
    <w:p w:rsidR="000B662C" w:rsidRPr="008E6DB5" w:rsidRDefault="000B662C" w:rsidP="00530215">
      <w:pPr>
        <w:pStyle w:val="1"/>
        <w:spacing w:before="120" w:after="120"/>
        <w:rPr>
          <w:rFonts w:ascii="Arial" w:hAnsi="Arial" w:cs="Arial"/>
          <w:sz w:val="32"/>
        </w:rPr>
      </w:pPr>
      <w:bookmarkStart w:id="59" w:name="_Toc100678761"/>
      <w:r w:rsidRPr="008E6DB5">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58"/>
      <w:bookmarkEnd w:id="59"/>
    </w:p>
    <w:p w:rsidR="00C1537B" w:rsidRPr="00416177" w:rsidRDefault="00C1537B" w:rsidP="00C1537B">
      <w:pPr>
        <w:pStyle w:val="a5"/>
        <w:spacing w:before="120" w:after="120"/>
        <w:ind w:firstLine="567"/>
        <w:rPr>
          <w:rFonts w:ascii="Arial" w:hAnsi="Arial" w:cs="Arial"/>
          <w:szCs w:val="22"/>
        </w:rPr>
      </w:pPr>
      <w:bookmarkStart w:id="60" w:name="_Toc415487691"/>
      <w:r w:rsidRPr="009931F0">
        <w:rPr>
          <w:rFonts w:ascii="Arial" w:hAnsi="Arial" w:cs="Arial"/>
          <w:szCs w:val="22"/>
        </w:rPr>
        <w:t>Совет директоров Общества в соответствии с его Уставом состоит из 9 членов.</w:t>
      </w:r>
    </w:p>
    <w:p w:rsidR="00C1537B" w:rsidRPr="00416177" w:rsidRDefault="00C1537B" w:rsidP="00C1537B">
      <w:pPr>
        <w:pStyle w:val="a5"/>
        <w:spacing w:before="120" w:after="120"/>
        <w:ind w:firstLine="567"/>
        <w:rPr>
          <w:rFonts w:ascii="Arial" w:hAnsi="Arial" w:cs="Arial"/>
          <w:szCs w:val="22"/>
        </w:rPr>
      </w:pPr>
      <w:r>
        <w:rPr>
          <w:rFonts w:ascii="Arial" w:hAnsi="Arial" w:cs="Arial"/>
          <w:szCs w:val="22"/>
        </w:rPr>
        <w:t>В период с 01.01.2021</w:t>
      </w:r>
      <w:r w:rsidRPr="00416177">
        <w:rPr>
          <w:rFonts w:ascii="Arial" w:hAnsi="Arial" w:cs="Arial"/>
          <w:szCs w:val="22"/>
        </w:rPr>
        <w:t xml:space="preserve"> г. по </w:t>
      </w:r>
      <w:r>
        <w:rPr>
          <w:rFonts w:ascii="Arial" w:hAnsi="Arial" w:cs="Arial"/>
          <w:szCs w:val="22"/>
        </w:rPr>
        <w:t>24.06.2021</w:t>
      </w:r>
      <w:r w:rsidRPr="00416177">
        <w:rPr>
          <w:rFonts w:ascii="Arial" w:hAnsi="Arial" w:cs="Arial"/>
          <w:szCs w:val="22"/>
        </w:rPr>
        <w:t xml:space="preserve"> г. в Обществе действовал совет директоров в составе:</w:t>
      </w:r>
    </w:p>
    <w:p w:rsidR="00C1537B" w:rsidRPr="00BB2AB3" w:rsidRDefault="00C1537B" w:rsidP="00C1537B">
      <w:pPr>
        <w:pStyle w:val="a5"/>
        <w:spacing w:before="120" w:after="120"/>
        <w:ind w:firstLine="709"/>
        <w:rPr>
          <w:rFonts w:ascii="Arial" w:hAnsi="Arial" w:cs="Arial"/>
          <w:szCs w:val="22"/>
        </w:rPr>
      </w:pPr>
      <w:r w:rsidRPr="00BB2AB3">
        <w:rPr>
          <w:rFonts w:ascii="Arial" w:hAnsi="Arial" w:cs="Arial"/>
          <w:szCs w:val="22"/>
        </w:rPr>
        <w:t>1. Брежнев Олег Владимирович</w:t>
      </w:r>
    </w:p>
    <w:p w:rsidR="00C1537B" w:rsidRPr="00BB2AB3" w:rsidRDefault="00C1537B" w:rsidP="00C1537B">
      <w:pPr>
        <w:pStyle w:val="a5"/>
        <w:spacing w:before="120" w:after="120"/>
        <w:ind w:firstLine="709"/>
        <w:rPr>
          <w:rFonts w:ascii="Arial" w:hAnsi="Arial" w:cs="Arial"/>
          <w:szCs w:val="22"/>
        </w:rPr>
      </w:pPr>
      <w:r w:rsidRPr="00BB2AB3">
        <w:rPr>
          <w:rFonts w:ascii="Arial" w:hAnsi="Arial" w:cs="Arial"/>
          <w:szCs w:val="22"/>
        </w:rPr>
        <w:t>2. Губанов Валентин Игнатьевич</w:t>
      </w:r>
    </w:p>
    <w:p w:rsidR="00C1537B" w:rsidRPr="00BB2AB3" w:rsidRDefault="00C1537B" w:rsidP="00C1537B">
      <w:pPr>
        <w:pStyle w:val="a5"/>
        <w:spacing w:before="120" w:after="120"/>
        <w:ind w:firstLine="709"/>
        <w:rPr>
          <w:rFonts w:ascii="Arial" w:hAnsi="Arial" w:cs="Arial"/>
          <w:szCs w:val="22"/>
        </w:rPr>
      </w:pPr>
      <w:r w:rsidRPr="00BB2AB3">
        <w:rPr>
          <w:rFonts w:ascii="Arial" w:hAnsi="Arial" w:cs="Arial"/>
          <w:szCs w:val="22"/>
        </w:rPr>
        <w:t>3. Евдокименко Олег Александрович</w:t>
      </w:r>
    </w:p>
    <w:p w:rsidR="00C1537B" w:rsidRDefault="00C1537B" w:rsidP="00C1537B">
      <w:pPr>
        <w:pStyle w:val="a5"/>
        <w:spacing w:before="120" w:after="120"/>
        <w:ind w:firstLine="709"/>
        <w:rPr>
          <w:rFonts w:ascii="Arial" w:hAnsi="Arial" w:cs="Arial"/>
          <w:szCs w:val="22"/>
        </w:rPr>
      </w:pPr>
      <w:r>
        <w:rPr>
          <w:rFonts w:ascii="Arial" w:hAnsi="Arial" w:cs="Arial"/>
          <w:szCs w:val="22"/>
        </w:rPr>
        <w:t>4. Иванов Кирилл Александрович</w:t>
      </w:r>
    </w:p>
    <w:p w:rsidR="00C1537B" w:rsidRPr="00BB2AB3" w:rsidRDefault="00C1537B" w:rsidP="00C1537B">
      <w:pPr>
        <w:pStyle w:val="a5"/>
        <w:spacing w:before="120" w:after="120"/>
        <w:ind w:firstLine="709"/>
        <w:rPr>
          <w:rFonts w:ascii="Arial" w:hAnsi="Arial" w:cs="Arial"/>
          <w:szCs w:val="22"/>
        </w:rPr>
      </w:pPr>
      <w:r>
        <w:rPr>
          <w:rFonts w:ascii="Arial" w:hAnsi="Arial" w:cs="Arial"/>
          <w:szCs w:val="22"/>
        </w:rPr>
        <w:t>5. Капацинский Аркадий Николаевич</w:t>
      </w:r>
    </w:p>
    <w:p w:rsidR="00C1537B" w:rsidRPr="00BB2AB3" w:rsidRDefault="00C1537B" w:rsidP="00C1537B">
      <w:pPr>
        <w:pStyle w:val="a5"/>
        <w:spacing w:before="120" w:after="120"/>
        <w:ind w:firstLine="709"/>
        <w:rPr>
          <w:rFonts w:ascii="Arial" w:hAnsi="Arial" w:cs="Arial"/>
          <w:szCs w:val="22"/>
        </w:rPr>
      </w:pPr>
      <w:r>
        <w:rPr>
          <w:rFonts w:ascii="Arial" w:hAnsi="Arial" w:cs="Arial"/>
          <w:szCs w:val="22"/>
        </w:rPr>
        <w:t>6</w:t>
      </w:r>
      <w:r w:rsidRPr="00BB2AB3">
        <w:rPr>
          <w:rFonts w:ascii="Arial" w:hAnsi="Arial" w:cs="Arial"/>
          <w:szCs w:val="22"/>
        </w:rPr>
        <w:t>. Киреев Сергей Владимирович</w:t>
      </w:r>
    </w:p>
    <w:p w:rsidR="00C1537B" w:rsidRDefault="00C1537B" w:rsidP="00C1537B">
      <w:pPr>
        <w:pStyle w:val="a5"/>
        <w:spacing w:before="120" w:after="120"/>
        <w:ind w:firstLine="709"/>
        <w:rPr>
          <w:rFonts w:ascii="Arial" w:hAnsi="Arial" w:cs="Arial"/>
          <w:szCs w:val="22"/>
        </w:rPr>
      </w:pPr>
      <w:r>
        <w:rPr>
          <w:rFonts w:ascii="Arial" w:hAnsi="Arial" w:cs="Arial"/>
          <w:szCs w:val="22"/>
        </w:rPr>
        <w:t>7</w:t>
      </w:r>
      <w:r w:rsidRPr="00BB2AB3">
        <w:rPr>
          <w:rFonts w:ascii="Arial" w:hAnsi="Arial" w:cs="Arial"/>
          <w:szCs w:val="22"/>
        </w:rPr>
        <w:t>. Малахов Олег Геннадьевич</w:t>
      </w:r>
    </w:p>
    <w:p w:rsidR="00C1537B" w:rsidRPr="00BB2AB3" w:rsidRDefault="00C1537B" w:rsidP="00C1537B">
      <w:pPr>
        <w:pStyle w:val="a5"/>
        <w:spacing w:before="120" w:after="120"/>
        <w:ind w:firstLine="709"/>
        <w:rPr>
          <w:rFonts w:ascii="Arial" w:hAnsi="Arial" w:cs="Arial"/>
          <w:szCs w:val="22"/>
        </w:rPr>
      </w:pPr>
      <w:r>
        <w:rPr>
          <w:rFonts w:ascii="Arial" w:hAnsi="Arial" w:cs="Arial"/>
          <w:szCs w:val="22"/>
        </w:rPr>
        <w:t>8. Минькова Анжелика Николаевна</w:t>
      </w:r>
    </w:p>
    <w:p w:rsidR="00C1537B" w:rsidRDefault="00C1537B" w:rsidP="00C1537B">
      <w:pPr>
        <w:pStyle w:val="a5"/>
        <w:spacing w:before="120" w:after="120"/>
        <w:ind w:firstLine="709"/>
        <w:rPr>
          <w:rFonts w:ascii="Arial" w:hAnsi="Arial" w:cs="Arial"/>
          <w:szCs w:val="22"/>
        </w:rPr>
      </w:pPr>
      <w:r w:rsidRPr="00BB2AB3">
        <w:rPr>
          <w:rFonts w:ascii="Arial" w:hAnsi="Arial" w:cs="Arial"/>
          <w:szCs w:val="22"/>
        </w:rPr>
        <w:lastRenderedPageBreak/>
        <w:t>9. Пятигоров Евгений Викторович</w:t>
      </w:r>
    </w:p>
    <w:p w:rsidR="00C1537B" w:rsidRDefault="00C1537B" w:rsidP="00C1537B">
      <w:pPr>
        <w:pStyle w:val="a5"/>
        <w:ind w:firstLine="709"/>
        <w:rPr>
          <w:rFonts w:ascii="Arial" w:hAnsi="Arial" w:cs="Arial"/>
          <w:szCs w:val="22"/>
        </w:rPr>
      </w:pPr>
      <w:r w:rsidRPr="005B3B2F">
        <w:rPr>
          <w:rFonts w:ascii="Arial" w:hAnsi="Arial" w:cs="Arial"/>
          <w:szCs w:val="22"/>
        </w:rPr>
        <w:t xml:space="preserve">После проведения </w:t>
      </w:r>
      <w:r>
        <w:rPr>
          <w:rFonts w:ascii="Arial" w:hAnsi="Arial" w:cs="Arial"/>
          <w:szCs w:val="22"/>
        </w:rPr>
        <w:t>внеочередного общего собрания акционеров 04.10.2021</w:t>
      </w:r>
      <w:r w:rsidRPr="005B3B2F">
        <w:rPr>
          <w:rFonts w:ascii="Arial" w:hAnsi="Arial" w:cs="Arial"/>
          <w:szCs w:val="22"/>
        </w:rPr>
        <w:t xml:space="preserve"> г. сос</w:t>
      </w:r>
      <w:r>
        <w:rPr>
          <w:rFonts w:ascii="Arial" w:hAnsi="Arial" w:cs="Arial"/>
          <w:szCs w:val="22"/>
        </w:rPr>
        <w:t>тав совета директоров изменился:</w:t>
      </w:r>
    </w:p>
    <w:p w:rsidR="00C1537B" w:rsidRDefault="00C1537B" w:rsidP="00C1537B">
      <w:pPr>
        <w:pStyle w:val="a5"/>
        <w:ind w:firstLine="709"/>
        <w:rPr>
          <w:rFonts w:ascii="Arial" w:hAnsi="Arial" w:cs="Arial"/>
          <w:szCs w:val="22"/>
        </w:rPr>
      </w:pPr>
    </w:p>
    <w:p w:rsidR="00C1537B" w:rsidRDefault="00C1537B" w:rsidP="00C1537B">
      <w:pPr>
        <w:pStyle w:val="a5"/>
        <w:numPr>
          <w:ilvl w:val="0"/>
          <w:numId w:val="44"/>
        </w:numPr>
        <w:rPr>
          <w:rFonts w:ascii="Arial" w:hAnsi="Arial" w:cs="Arial"/>
          <w:szCs w:val="22"/>
        </w:rPr>
      </w:pPr>
      <w:r>
        <w:rPr>
          <w:rFonts w:ascii="Arial" w:hAnsi="Arial" w:cs="Arial"/>
          <w:szCs w:val="22"/>
        </w:rPr>
        <w:t>Акимов Игорь Владимирович</w:t>
      </w:r>
    </w:p>
    <w:p w:rsidR="00C1537B" w:rsidRDefault="00C1537B" w:rsidP="00C1537B">
      <w:pPr>
        <w:pStyle w:val="a5"/>
        <w:numPr>
          <w:ilvl w:val="0"/>
          <w:numId w:val="44"/>
        </w:numPr>
        <w:rPr>
          <w:rFonts w:ascii="Arial" w:hAnsi="Arial" w:cs="Arial"/>
          <w:szCs w:val="22"/>
        </w:rPr>
      </w:pPr>
      <w:r>
        <w:rPr>
          <w:rFonts w:ascii="Arial" w:hAnsi="Arial" w:cs="Arial"/>
          <w:szCs w:val="22"/>
        </w:rPr>
        <w:t xml:space="preserve">Иванов Алексей Витальевич </w:t>
      </w:r>
    </w:p>
    <w:p w:rsidR="00C1537B" w:rsidRDefault="00C1537B" w:rsidP="00C1537B">
      <w:pPr>
        <w:pStyle w:val="a5"/>
        <w:numPr>
          <w:ilvl w:val="0"/>
          <w:numId w:val="44"/>
        </w:numPr>
        <w:rPr>
          <w:rFonts w:ascii="Arial" w:hAnsi="Arial" w:cs="Arial"/>
          <w:szCs w:val="22"/>
        </w:rPr>
      </w:pPr>
      <w:r>
        <w:rPr>
          <w:rFonts w:ascii="Arial" w:hAnsi="Arial" w:cs="Arial"/>
          <w:szCs w:val="22"/>
        </w:rPr>
        <w:t>Иванов Виталий Константинович</w:t>
      </w:r>
    </w:p>
    <w:p w:rsidR="00C1537B" w:rsidRDefault="00C1537B" w:rsidP="00C1537B">
      <w:pPr>
        <w:pStyle w:val="a5"/>
        <w:numPr>
          <w:ilvl w:val="0"/>
          <w:numId w:val="44"/>
        </w:numPr>
        <w:rPr>
          <w:rFonts w:ascii="Arial" w:hAnsi="Arial" w:cs="Arial"/>
          <w:szCs w:val="22"/>
        </w:rPr>
      </w:pPr>
      <w:r>
        <w:rPr>
          <w:rFonts w:ascii="Arial" w:hAnsi="Arial" w:cs="Arial"/>
          <w:szCs w:val="22"/>
        </w:rPr>
        <w:t>Иванов Евгений Витальевич</w:t>
      </w:r>
    </w:p>
    <w:p w:rsidR="00C1537B" w:rsidRDefault="00C1537B" w:rsidP="00C1537B">
      <w:pPr>
        <w:pStyle w:val="a5"/>
        <w:numPr>
          <w:ilvl w:val="0"/>
          <w:numId w:val="44"/>
        </w:numPr>
        <w:rPr>
          <w:rFonts w:ascii="Arial" w:hAnsi="Arial" w:cs="Arial"/>
          <w:szCs w:val="22"/>
        </w:rPr>
      </w:pPr>
      <w:r>
        <w:rPr>
          <w:rFonts w:ascii="Arial" w:hAnsi="Arial" w:cs="Arial"/>
          <w:szCs w:val="22"/>
        </w:rPr>
        <w:t>Киреев Сергей Владимирович</w:t>
      </w:r>
    </w:p>
    <w:p w:rsidR="00C1537B" w:rsidRDefault="00C1537B" w:rsidP="00C1537B">
      <w:pPr>
        <w:pStyle w:val="a5"/>
        <w:numPr>
          <w:ilvl w:val="0"/>
          <w:numId w:val="44"/>
        </w:numPr>
        <w:rPr>
          <w:rFonts w:ascii="Arial" w:hAnsi="Arial" w:cs="Arial"/>
          <w:szCs w:val="22"/>
        </w:rPr>
      </w:pPr>
      <w:r>
        <w:rPr>
          <w:rFonts w:ascii="Arial" w:hAnsi="Arial" w:cs="Arial"/>
          <w:szCs w:val="22"/>
        </w:rPr>
        <w:t>Лобода Юрий Геннадьевич</w:t>
      </w:r>
    </w:p>
    <w:p w:rsidR="00C1537B" w:rsidRDefault="00C1537B" w:rsidP="00C1537B">
      <w:pPr>
        <w:pStyle w:val="a5"/>
        <w:numPr>
          <w:ilvl w:val="0"/>
          <w:numId w:val="44"/>
        </w:numPr>
        <w:rPr>
          <w:rFonts w:ascii="Arial" w:hAnsi="Arial" w:cs="Arial"/>
          <w:szCs w:val="22"/>
        </w:rPr>
      </w:pPr>
      <w:r>
        <w:rPr>
          <w:rFonts w:ascii="Arial" w:hAnsi="Arial" w:cs="Arial"/>
          <w:szCs w:val="22"/>
        </w:rPr>
        <w:t>Малахов Олег Геннадьевич</w:t>
      </w:r>
    </w:p>
    <w:p w:rsidR="00C1537B" w:rsidRDefault="00C1537B" w:rsidP="00C1537B">
      <w:pPr>
        <w:pStyle w:val="a5"/>
        <w:numPr>
          <w:ilvl w:val="0"/>
          <w:numId w:val="44"/>
        </w:numPr>
        <w:rPr>
          <w:rFonts w:ascii="Arial" w:hAnsi="Arial" w:cs="Arial"/>
          <w:szCs w:val="22"/>
        </w:rPr>
      </w:pPr>
      <w:r>
        <w:rPr>
          <w:rFonts w:ascii="Arial" w:hAnsi="Arial" w:cs="Arial"/>
          <w:szCs w:val="22"/>
        </w:rPr>
        <w:t>Пятигоров Евгений Викторович</w:t>
      </w:r>
    </w:p>
    <w:p w:rsidR="00C1537B" w:rsidRDefault="00C1537B" w:rsidP="00C1537B">
      <w:pPr>
        <w:pStyle w:val="a5"/>
        <w:numPr>
          <w:ilvl w:val="0"/>
          <w:numId w:val="44"/>
        </w:numPr>
        <w:rPr>
          <w:rFonts w:ascii="Arial" w:hAnsi="Arial" w:cs="Arial"/>
          <w:szCs w:val="22"/>
        </w:rPr>
      </w:pPr>
      <w:r>
        <w:rPr>
          <w:rFonts w:ascii="Arial" w:hAnsi="Arial" w:cs="Arial"/>
          <w:szCs w:val="22"/>
        </w:rPr>
        <w:t>Урванцев Михаил Леонидович</w:t>
      </w:r>
    </w:p>
    <w:p w:rsidR="00C1537B" w:rsidRDefault="00C1537B" w:rsidP="00C1537B">
      <w:pPr>
        <w:pStyle w:val="a5"/>
        <w:spacing w:before="120" w:after="120"/>
        <w:ind w:firstLine="709"/>
        <w:rPr>
          <w:rFonts w:ascii="Arial" w:hAnsi="Arial" w:cs="Arial"/>
          <w:szCs w:val="22"/>
        </w:rPr>
      </w:pPr>
      <w:r w:rsidRPr="00BB2AB3">
        <w:rPr>
          <w:rFonts w:ascii="Arial" w:hAnsi="Arial" w:cs="Arial"/>
          <w:szCs w:val="22"/>
        </w:rPr>
        <w:t>Очередное годовое собрание акцио</w:t>
      </w:r>
      <w:r>
        <w:rPr>
          <w:rFonts w:ascii="Arial" w:hAnsi="Arial" w:cs="Arial"/>
          <w:szCs w:val="22"/>
        </w:rPr>
        <w:t xml:space="preserve">неров будет проведено в </w:t>
      </w:r>
      <w:r w:rsidRPr="00201258">
        <w:rPr>
          <w:rFonts w:ascii="Arial" w:hAnsi="Arial" w:cs="Arial"/>
          <w:szCs w:val="22"/>
        </w:rPr>
        <w:t>июне</w:t>
      </w:r>
      <w:r>
        <w:rPr>
          <w:rFonts w:ascii="Arial" w:hAnsi="Arial" w:cs="Arial"/>
          <w:szCs w:val="22"/>
        </w:rPr>
        <w:t xml:space="preserve"> 2022</w:t>
      </w:r>
      <w:r w:rsidRPr="00BB2AB3">
        <w:rPr>
          <w:rFonts w:ascii="Arial" w:hAnsi="Arial" w:cs="Arial"/>
          <w:szCs w:val="22"/>
        </w:rPr>
        <w:t xml:space="preserve"> года.</w:t>
      </w:r>
    </w:p>
    <w:p w:rsidR="00C1537B" w:rsidRDefault="00C1537B" w:rsidP="00C1537B">
      <w:pPr>
        <w:pStyle w:val="a5"/>
        <w:spacing w:before="120" w:after="120"/>
        <w:ind w:firstLine="709"/>
        <w:rPr>
          <w:rFonts w:ascii="Arial" w:hAnsi="Arial" w:cs="Arial"/>
          <w:szCs w:val="22"/>
        </w:rPr>
      </w:pPr>
      <w:r w:rsidRPr="00BB2AB3">
        <w:rPr>
          <w:rFonts w:ascii="Arial" w:hAnsi="Arial" w:cs="Arial"/>
          <w:szCs w:val="22"/>
        </w:rPr>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560"/>
        <w:gridCol w:w="7937"/>
        <w:gridCol w:w="1358"/>
      </w:tblGrid>
      <w:tr w:rsidR="00C1537B" w:rsidRPr="00A43A31" w:rsidTr="00B4263D">
        <w:trPr>
          <w:tblHeader/>
        </w:trPr>
        <w:tc>
          <w:tcPr>
            <w:tcW w:w="284" w:type="pct"/>
            <w:tcBorders>
              <w:right w:val="single" w:sz="8" w:space="0" w:color="auto"/>
            </w:tcBorders>
            <w:shd w:val="clear" w:color="auto" w:fill="C6D9F1" w:themeFill="text2" w:themeFillTint="33"/>
          </w:tcPr>
          <w:p w:rsidR="00C1537B" w:rsidRPr="00A43A31" w:rsidRDefault="00C1537B" w:rsidP="00B4263D">
            <w:pPr>
              <w:pStyle w:val="af"/>
              <w:spacing w:before="120" w:after="120"/>
              <w:rPr>
                <w:b/>
                <w:bCs/>
              </w:rPr>
            </w:pPr>
            <w:r w:rsidRPr="00A43A31">
              <w:rPr>
                <w:b/>
                <w:bCs/>
              </w:rPr>
              <w:t>№ п/п</w:t>
            </w:r>
          </w:p>
        </w:tc>
        <w:tc>
          <w:tcPr>
            <w:tcW w:w="4027" w:type="pct"/>
            <w:tcBorders>
              <w:left w:val="single" w:sz="8" w:space="0" w:color="auto"/>
              <w:right w:val="single" w:sz="8" w:space="0" w:color="auto"/>
            </w:tcBorders>
            <w:shd w:val="clear" w:color="auto" w:fill="C6D9F1" w:themeFill="text2" w:themeFillTint="33"/>
          </w:tcPr>
          <w:p w:rsidR="00C1537B" w:rsidRPr="00A43A31" w:rsidRDefault="00C1537B" w:rsidP="00B4263D">
            <w:pPr>
              <w:spacing w:before="120" w:after="120"/>
              <w:jc w:val="center"/>
              <w:rPr>
                <w:rFonts w:ascii="Arial" w:hAnsi="Arial" w:cs="Arial"/>
                <w:b/>
                <w:bCs/>
              </w:rPr>
            </w:pPr>
            <w:r w:rsidRPr="00A43A31">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tcBorders>
              <w:left w:val="single" w:sz="8" w:space="0" w:color="auto"/>
            </w:tcBorders>
            <w:shd w:val="clear" w:color="auto" w:fill="C6D9F1" w:themeFill="text2" w:themeFillTint="33"/>
          </w:tcPr>
          <w:p w:rsidR="00C1537B" w:rsidRPr="00A43A31" w:rsidRDefault="00C1537B" w:rsidP="00B4263D">
            <w:pPr>
              <w:pStyle w:val="af"/>
              <w:spacing w:before="120" w:after="120"/>
              <w:rPr>
                <w:b/>
                <w:bCs/>
              </w:rPr>
            </w:pPr>
            <w:r w:rsidRPr="00261690">
              <w:rPr>
                <w:b/>
                <w:bCs/>
              </w:rPr>
              <w:t>Владение акциями Общества</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1</w:t>
            </w:r>
          </w:p>
        </w:tc>
        <w:tc>
          <w:tcPr>
            <w:tcW w:w="4027" w:type="pct"/>
            <w:tcBorders>
              <w:left w:val="single" w:sz="8" w:space="0" w:color="auto"/>
              <w:right w:val="single" w:sz="8" w:space="0" w:color="auto"/>
            </w:tcBorders>
          </w:tcPr>
          <w:p w:rsidR="00C1537B" w:rsidRPr="00A43A31" w:rsidRDefault="00C1537B" w:rsidP="00B4263D">
            <w:pPr>
              <w:spacing w:before="120" w:after="120"/>
              <w:rPr>
                <w:rFonts w:ascii="Arial" w:hAnsi="Arial" w:cs="Arial"/>
              </w:rPr>
            </w:pPr>
            <w:r>
              <w:rPr>
                <w:rFonts w:ascii="Arial" w:hAnsi="Arial" w:cs="Arial"/>
              </w:rPr>
              <w:t>Акимов Игорь Владимирович, 1978 г.р., адвокат, образование высшее, юриспруденция, МГУ им. МВ Ломоносова, 2001</w:t>
            </w:r>
          </w:p>
        </w:tc>
        <w:tc>
          <w:tcPr>
            <w:tcW w:w="689" w:type="pct"/>
            <w:tcBorders>
              <w:left w:val="single" w:sz="8" w:space="0" w:color="auto"/>
            </w:tcBorders>
          </w:tcPr>
          <w:p w:rsidR="00C1537B" w:rsidRPr="00A43A31" w:rsidRDefault="00C1537B" w:rsidP="00B4263D">
            <w:pPr>
              <w:pStyle w:val="af"/>
              <w:spacing w:before="120" w:after="120"/>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2</w:t>
            </w:r>
          </w:p>
        </w:tc>
        <w:tc>
          <w:tcPr>
            <w:tcW w:w="4027" w:type="pct"/>
            <w:tcBorders>
              <w:left w:val="single" w:sz="8" w:space="0" w:color="auto"/>
              <w:right w:val="single" w:sz="8" w:space="0" w:color="auto"/>
            </w:tcBorders>
          </w:tcPr>
          <w:p w:rsidR="00C1537B" w:rsidRPr="00A43A31" w:rsidRDefault="00C1537B" w:rsidP="00B4263D">
            <w:pPr>
              <w:spacing w:before="120" w:after="120"/>
              <w:rPr>
                <w:rFonts w:ascii="Arial" w:hAnsi="Arial" w:cs="Arial"/>
              </w:rPr>
            </w:pPr>
            <w:r>
              <w:rPr>
                <w:rFonts w:ascii="Arial" w:hAnsi="Arial" w:cs="Arial"/>
              </w:rPr>
              <w:t>Иванов Алексей Витальевич, 1969 г.р., радиоинженер по специальности «Радиотехнические средства», Киевское высшее инженерное радиотехническое училище ПВО им. Маршала авиации Покрышкина А.И., 1991 г.</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3</w:t>
            </w:r>
          </w:p>
        </w:tc>
        <w:tc>
          <w:tcPr>
            <w:tcW w:w="4027" w:type="pct"/>
            <w:tcBorders>
              <w:left w:val="single" w:sz="8" w:space="0" w:color="auto"/>
              <w:right w:val="single" w:sz="8" w:space="0" w:color="auto"/>
            </w:tcBorders>
          </w:tcPr>
          <w:p w:rsidR="00C1537B" w:rsidRPr="00A43A31" w:rsidRDefault="00C1537B" w:rsidP="00B4263D">
            <w:pPr>
              <w:spacing w:before="120" w:after="120"/>
              <w:rPr>
                <w:rFonts w:ascii="Arial" w:hAnsi="Arial" w:cs="Arial"/>
              </w:rPr>
            </w:pPr>
            <w:r>
              <w:rPr>
                <w:rFonts w:ascii="Arial" w:hAnsi="Arial" w:cs="Arial"/>
              </w:rPr>
              <w:t>Иванов Виталий Константинович, 1949 г.р., Свердловский горный институт им В.В. Вахрушева по специальности «горный инженер-механик», 1972 год</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4</w:t>
            </w:r>
          </w:p>
        </w:tc>
        <w:tc>
          <w:tcPr>
            <w:tcW w:w="4027" w:type="pct"/>
            <w:tcBorders>
              <w:left w:val="single" w:sz="8" w:space="0" w:color="auto"/>
              <w:right w:val="single" w:sz="8" w:space="0" w:color="auto"/>
            </w:tcBorders>
          </w:tcPr>
          <w:p w:rsidR="00C1537B" w:rsidRPr="00A43A31" w:rsidRDefault="00C1537B" w:rsidP="00B4263D">
            <w:pPr>
              <w:spacing w:before="120" w:after="120"/>
              <w:rPr>
                <w:rFonts w:ascii="Arial" w:hAnsi="Arial" w:cs="Arial"/>
              </w:rPr>
            </w:pPr>
            <w:r>
              <w:rPr>
                <w:rFonts w:ascii="Arial" w:hAnsi="Arial" w:cs="Arial"/>
              </w:rPr>
              <w:t xml:space="preserve">Иванов Евгений Витальевич, 1972 г.р., инженер по специальности «Технология высокоэффективных процессов обработки», Московский государственный технический университет им. Н.Э. Баумана, 1995 г; Специализация «Финансы и кредит», Московский финансово-экономический институт, 1997 г. </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5</w:t>
            </w:r>
          </w:p>
        </w:tc>
        <w:tc>
          <w:tcPr>
            <w:tcW w:w="4027" w:type="pct"/>
            <w:tcBorders>
              <w:left w:val="single" w:sz="8" w:space="0" w:color="auto"/>
              <w:right w:val="single" w:sz="8" w:space="0" w:color="auto"/>
            </w:tcBorders>
          </w:tcPr>
          <w:p w:rsidR="00C1537B" w:rsidRPr="00A43A31" w:rsidRDefault="00C1537B" w:rsidP="00B4263D">
            <w:pPr>
              <w:spacing w:before="120" w:after="120"/>
              <w:rPr>
                <w:rFonts w:ascii="Arial" w:hAnsi="Arial" w:cs="Arial"/>
              </w:rPr>
            </w:pPr>
            <w:r w:rsidRPr="00A43A31">
              <w:rPr>
                <w:rFonts w:ascii="Arial" w:hAnsi="Arial" w:cs="Arial"/>
              </w:rPr>
              <w:t>Киреев Сергей Владимирович, 1956 г.р.</w:t>
            </w:r>
            <w:r>
              <w:rPr>
                <w:rFonts w:ascii="Arial" w:hAnsi="Arial" w:cs="Arial"/>
              </w:rPr>
              <w:t>,</w:t>
            </w:r>
            <w:r w:rsidRPr="00A43A31">
              <w:rPr>
                <w:rFonts w:ascii="Arial" w:hAnsi="Arial" w:cs="Arial"/>
              </w:rPr>
              <w:t xml:space="preserve"> </w:t>
            </w:r>
            <w:r>
              <w:rPr>
                <w:rFonts w:ascii="Arial" w:hAnsi="Arial" w:cs="Arial"/>
              </w:rPr>
              <w:t>о</w:t>
            </w:r>
            <w:r w:rsidRPr="00A43A31">
              <w:rPr>
                <w:rFonts w:ascii="Arial" w:hAnsi="Arial" w:cs="Arial"/>
              </w:rPr>
              <w:t>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6</w:t>
            </w:r>
          </w:p>
        </w:tc>
        <w:tc>
          <w:tcPr>
            <w:tcW w:w="4027" w:type="pct"/>
            <w:tcBorders>
              <w:left w:val="single" w:sz="8" w:space="0" w:color="auto"/>
              <w:right w:val="single" w:sz="8" w:space="0" w:color="auto"/>
            </w:tcBorders>
          </w:tcPr>
          <w:p w:rsidR="00C1537B" w:rsidRDefault="00C1537B" w:rsidP="00B4263D">
            <w:pPr>
              <w:spacing w:before="120" w:after="120"/>
              <w:rPr>
                <w:rFonts w:ascii="Arial" w:hAnsi="Arial" w:cs="Arial"/>
              </w:rPr>
            </w:pPr>
            <w:r>
              <w:rPr>
                <w:rFonts w:ascii="Arial" w:hAnsi="Arial" w:cs="Arial"/>
              </w:rPr>
              <w:t>Лобода Юрий Геннадьевич, 1967 г.р., радиоинженер по специальности «Радиолокационные средства», КВИРТУ ПВО, 1990г.; управление проектами, курс «РМВОК» Управление проектами».</w:t>
            </w:r>
          </w:p>
          <w:p w:rsidR="00C1537B" w:rsidRPr="00A43A31" w:rsidRDefault="00C1537B" w:rsidP="00B4263D">
            <w:pPr>
              <w:spacing w:before="120" w:after="120"/>
              <w:rPr>
                <w:rFonts w:ascii="Arial" w:hAnsi="Arial" w:cs="Arial"/>
              </w:rPr>
            </w:pPr>
            <w:r>
              <w:rPr>
                <w:rFonts w:ascii="Arial" w:hAnsi="Arial" w:cs="Arial"/>
              </w:rPr>
              <w:t xml:space="preserve">Менеджер предприятия, управление производством –Степень МВА «Управление  производством» Московская международная высшая школа бизнеса МИРБИС, 2007 г. </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7</w:t>
            </w:r>
          </w:p>
        </w:tc>
        <w:tc>
          <w:tcPr>
            <w:tcW w:w="4027" w:type="pct"/>
            <w:tcBorders>
              <w:left w:val="single" w:sz="8" w:space="0" w:color="auto"/>
              <w:right w:val="single" w:sz="8" w:space="0" w:color="auto"/>
            </w:tcBorders>
          </w:tcPr>
          <w:p w:rsidR="00C1537B" w:rsidRPr="00A43A31" w:rsidRDefault="00C1537B" w:rsidP="00B4263D">
            <w:pPr>
              <w:spacing w:before="120" w:after="120"/>
              <w:rPr>
                <w:rFonts w:ascii="Arial" w:hAnsi="Arial" w:cs="Arial"/>
              </w:rPr>
            </w:pPr>
            <w:r w:rsidRPr="00A43A31">
              <w:rPr>
                <w:rFonts w:ascii="Arial" w:hAnsi="Arial" w:cs="Arial"/>
              </w:rPr>
              <w:t>Малахов Олег Геннадьевич, 1978 г.р.</w:t>
            </w:r>
            <w:r>
              <w:rPr>
                <w:rFonts w:ascii="Arial" w:hAnsi="Arial" w:cs="Arial"/>
              </w:rPr>
              <w:t>,</w:t>
            </w:r>
            <w:r w:rsidRPr="00A43A31">
              <w:rPr>
                <w:rFonts w:ascii="Arial" w:hAnsi="Arial" w:cs="Arial"/>
              </w:rPr>
              <w:t xml:space="preserve"> Белорусская Государственная политехническая академия, специальность </w:t>
            </w:r>
            <w:r w:rsidRPr="00A43A31">
              <w:rPr>
                <w:rFonts w:ascii="Arial" w:hAnsi="Arial" w:cs="Arial"/>
              </w:rPr>
              <w:lastRenderedPageBreak/>
              <w:t>"экономика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сферы деятельности – управленческая и консалтинговая. С сентября 2006 г. – в ПАО «КМЗ».</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lastRenderedPageBreak/>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lastRenderedPageBreak/>
              <w:t>8</w:t>
            </w:r>
          </w:p>
        </w:tc>
        <w:tc>
          <w:tcPr>
            <w:tcW w:w="4027" w:type="pct"/>
            <w:tcBorders>
              <w:left w:val="single" w:sz="8" w:space="0" w:color="auto"/>
              <w:right w:val="single" w:sz="8" w:space="0" w:color="auto"/>
            </w:tcBorders>
          </w:tcPr>
          <w:p w:rsidR="00C1537B" w:rsidRPr="00A43A31" w:rsidRDefault="00C1537B" w:rsidP="00B4263D">
            <w:pPr>
              <w:rPr>
                <w:rFonts w:ascii="Arial" w:hAnsi="Arial" w:cs="Arial"/>
              </w:rPr>
            </w:pPr>
            <w:r w:rsidRPr="00A43A31">
              <w:rPr>
                <w:rFonts w:ascii="Arial" w:hAnsi="Arial" w:cs="Arial"/>
              </w:rPr>
              <w:t>Пятигоров Евгений Викторович, 1975 г.р.</w:t>
            </w:r>
            <w:r>
              <w:rPr>
                <w:rFonts w:ascii="Arial" w:hAnsi="Arial" w:cs="Arial"/>
              </w:rPr>
              <w:t>, Г</w:t>
            </w:r>
            <w:r w:rsidRPr="00A43A31">
              <w:rPr>
                <w:rFonts w:ascii="Arial" w:hAnsi="Arial" w:cs="Arial"/>
              </w:rPr>
              <w:t>осударственная академия управления, специальность «экономист - математик». Работал на производстве в должности заместителя генерального директора по экономике и финансам ЗАО «Химпромсырье» (производство и реализация химической продукции). 2003-2004гг. - основная сфера деятельности – консалтинговая. В период 2005-2009гг. работал в коммерческих организациях в должностях начальника отдела контроля бизнес-процессов, заместителя директора Управления корпоративного развития. С мая 2009 г. -  в ПАО «КМЗ».</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r w:rsidR="00C1537B" w:rsidRPr="00A43A31" w:rsidTr="00B4263D">
        <w:tc>
          <w:tcPr>
            <w:tcW w:w="284" w:type="pct"/>
            <w:tcBorders>
              <w:right w:val="single" w:sz="8" w:space="0" w:color="auto"/>
            </w:tcBorders>
          </w:tcPr>
          <w:p w:rsidR="00C1537B" w:rsidRPr="00A43A31" w:rsidRDefault="00C1537B" w:rsidP="00B4263D">
            <w:pPr>
              <w:pStyle w:val="af"/>
              <w:spacing w:before="120" w:after="120"/>
              <w:rPr>
                <w:bCs/>
              </w:rPr>
            </w:pPr>
            <w:r w:rsidRPr="00A43A31">
              <w:rPr>
                <w:bCs/>
              </w:rPr>
              <w:t>9</w:t>
            </w:r>
          </w:p>
        </w:tc>
        <w:tc>
          <w:tcPr>
            <w:tcW w:w="4027" w:type="pct"/>
            <w:tcBorders>
              <w:left w:val="single" w:sz="8" w:space="0" w:color="auto"/>
              <w:right w:val="single" w:sz="8" w:space="0" w:color="auto"/>
            </w:tcBorders>
          </w:tcPr>
          <w:p w:rsidR="00C1537B" w:rsidRDefault="00C1537B" w:rsidP="00B4263D">
            <w:pPr>
              <w:pStyle w:val="a5"/>
              <w:ind w:firstLine="0"/>
              <w:rPr>
                <w:rFonts w:ascii="Arial" w:hAnsi="Arial" w:cs="Arial"/>
              </w:rPr>
            </w:pPr>
            <w:r>
              <w:rPr>
                <w:rFonts w:ascii="Arial" w:hAnsi="Arial" w:cs="Arial"/>
                <w:szCs w:val="22"/>
              </w:rPr>
              <w:t xml:space="preserve">Урванцев Михаил Леонидович, 1969 г.р., экономист по специальности «Экономика и управление», Московский коммерческий университет, </w:t>
            </w:r>
          </w:p>
          <w:p w:rsidR="00C1537B" w:rsidRPr="00A43A31" w:rsidRDefault="00C1537B" w:rsidP="00B4263D">
            <w:pPr>
              <w:pStyle w:val="a5"/>
              <w:ind w:firstLine="0"/>
              <w:rPr>
                <w:rFonts w:ascii="Arial" w:hAnsi="Arial" w:cs="Arial"/>
              </w:rPr>
            </w:pPr>
            <w:r>
              <w:rPr>
                <w:rFonts w:ascii="Arial" w:hAnsi="Arial" w:cs="Arial"/>
                <w:szCs w:val="22"/>
              </w:rPr>
              <w:t>1994 г.</w:t>
            </w:r>
          </w:p>
        </w:tc>
        <w:tc>
          <w:tcPr>
            <w:tcW w:w="689" w:type="pct"/>
            <w:tcBorders>
              <w:left w:val="single" w:sz="8" w:space="0" w:color="auto"/>
            </w:tcBorders>
          </w:tcPr>
          <w:p w:rsidR="00C1537B" w:rsidRPr="00A43A31" w:rsidRDefault="00C1537B" w:rsidP="00B4263D">
            <w:pPr>
              <w:pStyle w:val="af"/>
              <w:spacing w:before="120" w:after="120"/>
              <w:rPr>
                <w:bCs/>
              </w:rPr>
            </w:pPr>
            <w:r w:rsidRPr="00A43A31">
              <w:rPr>
                <w:bCs/>
              </w:rPr>
              <w:t>нет</w:t>
            </w:r>
          </w:p>
        </w:tc>
      </w:tr>
    </w:tbl>
    <w:p w:rsidR="00C1537B" w:rsidRPr="00A43A31" w:rsidRDefault="00C1537B" w:rsidP="00C1537B">
      <w:pPr>
        <w:pStyle w:val="a5"/>
        <w:spacing w:before="120" w:after="120"/>
        <w:ind w:firstLine="709"/>
        <w:rPr>
          <w:rFonts w:ascii="Arial" w:hAnsi="Arial" w:cs="Arial"/>
        </w:rPr>
      </w:pPr>
      <w:r w:rsidRPr="00A43A31">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p>
    <w:p w:rsidR="000B662C" w:rsidRPr="008E6DB5" w:rsidRDefault="000B662C" w:rsidP="00530215">
      <w:pPr>
        <w:pStyle w:val="1"/>
        <w:spacing w:before="120" w:after="120"/>
        <w:rPr>
          <w:rFonts w:ascii="Arial" w:hAnsi="Arial" w:cs="Arial"/>
        </w:rPr>
      </w:pPr>
      <w:bookmarkStart w:id="61" w:name="_Toc100678762"/>
      <w:r w:rsidRPr="008E6DB5">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60"/>
      <w:bookmarkEnd w:id="61"/>
    </w:p>
    <w:p w:rsidR="00C1537B" w:rsidRPr="0005627F" w:rsidRDefault="00C1537B" w:rsidP="00C1537B">
      <w:pPr>
        <w:pStyle w:val="a5"/>
        <w:spacing w:before="120" w:after="120"/>
        <w:ind w:firstLine="709"/>
        <w:rPr>
          <w:rFonts w:ascii="Arial" w:hAnsi="Arial" w:cs="Arial"/>
          <w:szCs w:val="22"/>
        </w:rPr>
      </w:pPr>
      <w:bookmarkStart w:id="62" w:name="_Toc415487692"/>
      <w:r>
        <w:rPr>
          <w:rFonts w:ascii="Arial" w:hAnsi="Arial" w:cs="Arial"/>
          <w:szCs w:val="22"/>
        </w:rPr>
        <w:t>Управляющая организация – Общество с ограниченной ответственностью «Саткинский инвестиционный холдинг», ОГРН 1047796106412.</w:t>
      </w:r>
    </w:p>
    <w:p w:rsidR="00C1537B" w:rsidRDefault="00C1537B" w:rsidP="00C1537B">
      <w:pPr>
        <w:pStyle w:val="a5"/>
        <w:spacing w:before="120" w:after="120"/>
        <w:ind w:firstLine="709"/>
        <w:rPr>
          <w:rFonts w:ascii="Arial" w:hAnsi="Arial" w:cs="Arial"/>
          <w:szCs w:val="22"/>
        </w:rPr>
      </w:pPr>
    </w:p>
    <w:p w:rsidR="00C1537B" w:rsidRPr="00201258" w:rsidRDefault="00C1537B" w:rsidP="00C1537B">
      <w:pPr>
        <w:pStyle w:val="a5"/>
        <w:spacing w:before="120" w:after="120"/>
        <w:ind w:firstLine="709"/>
        <w:rPr>
          <w:rFonts w:ascii="Arial" w:hAnsi="Arial" w:cs="Arial"/>
          <w:szCs w:val="22"/>
        </w:rPr>
      </w:pPr>
      <w:r w:rsidRPr="0005627F">
        <w:rPr>
          <w:rFonts w:ascii="Arial" w:hAnsi="Arial" w:cs="Arial"/>
          <w:szCs w:val="22"/>
        </w:rPr>
        <w:t>Коллегиальный исполнительный орган не предусмотрен Уставом Общества.</w:t>
      </w:r>
    </w:p>
    <w:p w:rsidR="00F72468" w:rsidRPr="0005627F" w:rsidRDefault="00F72468" w:rsidP="00530215">
      <w:pPr>
        <w:pStyle w:val="1"/>
        <w:spacing w:before="120" w:after="120"/>
        <w:rPr>
          <w:rFonts w:ascii="Arial" w:hAnsi="Arial" w:cs="Arial"/>
          <w:sz w:val="32"/>
        </w:rPr>
      </w:pPr>
    </w:p>
    <w:p w:rsidR="000B662C" w:rsidRPr="008E6DB5" w:rsidRDefault="000B662C" w:rsidP="00530215">
      <w:pPr>
        <w:pStyle w:val="1"/>
        <w:spacing w:before="120" w:after="120"/>
        <w:rPr>
          <w:rFonts w:ascii="Arial" w:hAnsi="Arial" w:cs="Arial"/>
          <w:sz w:val="32"/>
        </w:rPr>
      </w:pPr>
      <w:bookmarkStart w:id="63" w:name="_Toc100678763"/>
      <w:r w:rsidRPr="00261690">
        <w:rPr>
          <w:rFonts w:ascii="Arial" w:hAnsi="Arial" w:cs="Arial"/>
          <w:sz w:val="32"/>
        </w:rPr>
        <w:t>Критерии определения и размер вознаграждения</w:t>
      </w:r>
      <w:r w:rsidRPr="008E6DB5">
        <w:rPr>
          <w:rFonts w:ascii="Arial" w:hAnsi="Arial" w:cs="Arial"/>
          <w:sz w:val="32"/>
        </w:rPr>
        <w:t xml:space="preserve">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bookmarkEnd w:id="62"/>
      <w:bookmarkEnd w:id="63"/>
    </w:p>
    <w:p w:rsidR="00C1537B" w:rsidRPr="001515E8" w:rsidRDefault="00C1537B" w:rsidP="00C1537B">
      <w:pPr>
        <w:pStyle w:val="a5"/>
        <w:spacing w:before="120" w:after="120"/>
        <w:ind w:firstLine="709"/>
        <w:rPr>
          <w:rFonts w:ascii="Arial" w:hAnsi="Arial" w:cs="Arial"/>
          <w:szCs w:val="20"/>
        </w:rPr>
      </w:pPr>
      <w:r w:rsidRPr="001515E8">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DD0E6F" w:rsidRDefault="000B662C" w:rsidP="00530215">
      <w:pPr>
        <w:pStyle w:val="a5"/>
        <w:spacing w:before="120" w:after="120"/>
        <w:ind w:firstLine="709"/>
        <w:rPr>
          <w:rFonts w:ascii="Arial" w:hAnsi="Arial" w:cs="Arial"/>
          <w:sz w:val="16"/>
          <w:szCs w:val="20"/>
        </w:rPr>
      </w:pPr>
    </w:p>
    <w:p w:rsidR="000B662C" w:rsidRPr="008E6DB5" w:rsidRDefault="000B662C" w:rsidP="00530215">
      <w:pPr>
        <w:pStyle w:val="1"/>
        <w:spacing w:before="120" w:after="120"/>
        <w:rPr>
          <w:rFonts w:ascii="Arial" w:hAnsi="Arial" w:cs="Arial"/>
          <w:sz w:val="32"/>
        </w:rPr>
      </w:pPr>
      <w:bookmarkStart w:id="64" w:name="_Toc415487693"/>
      <w:bookmarkStart w:id="65" w:name="_Toc100678764"/>
      <w:r w:rsidRPr="008E6DB5">
        <w:rPr>
          <w:rFonts w:ascii="Arial" w:hAnsi="Arial" w:cs="Arial"/>
          <w:sz w:val="32"/>
        </w:rPr>
        <w:lastRenderedPageBreak/>
        <w:t>Сведения о соблюдении Обществом Кодекса корпоративного поведения</w:t>
      </w:r>
      <w:bookmarkEnd w:id="64"/>
      <w:bookmarkEnd w:id="65"/>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Акционеры Общества обеспечены надежными и эффективными способами учета прав собственности на акции.</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деятельность, а также о сведениях, которые могут оказать существенное влияние на стоимость ценных бумаг акционерного общества.</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Общество соблюдает стандарты раскрытия информации, установленные для эмитентов ценных бумаг. В соответствии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C1537B" w:rsidRPr="005123AD" w:rsidRDefault="00FC28D5" w:rsidP="00C1537B">
      <w:pPr>
        <w:pStyle w:val="a5"/>
        <w:spacing w:before="120" w:after="120"/>
        <w:ind w:firstLine="709"/>
        <w:rPr>
          <w:rFonts w:ascii="Arial" w:hAnsi="Arial" w:cs="Arial"/>
          <w:szCs w:val="22"/>
        </w:rPr>
      </w:pPr>
      <w:r>
        <w:rPr>
          <w:rFonts w:ascii="Arial" w:hAnsi="Arial" w:cs="Arial"/>
        </w:rPr>
        <w:t>Единоличный исполнительный орган</w:t>
      </w:r>
      <w:r w:rsidR="00C1537B" w:rsidRPr="005123AD">
        <w:rPr>
          <w:rFonts w:ascii="Arial" w:hAnsi="Arial" w:cs="Arial"/>
          <w:szCs w:val="22"/>
        </w:rPr>
        <w:t xml:space="preserve"> </w:t>
      </w:r>
      <w:r>
        <w:rPr>
          <w:rFonts w:ascii="Arial" w:hAnsi="Arial" w:cs="Arial"/>
          <w:szCs w:val="22"/>
        </w:rPr>
        <w:t xml:space="preserve">(ЕИО) </w:t>
      </w:r>
      <w:r w:rsidR="00C1537B" w:rsidRPr="005123AD">
        <w:rPr>
          <w:rFonts w:ascii="Arial" w:hAnsi="Arial" w:cs="Arial"/>
          <w:szCs w:val="22"/>
        </w:rPr>
        <w:t>осуществляет текущее руководство финансово-хозяйственной деятельностью Общества, основанной на принципах текущего и перспективного планирования, бюджетирования, минимизации издержек и рисков, целевой и функциональной оптимизации.</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 xml:space="preserve">При осуществлении управления деятельностью Общества </w:t>
      </w:r>
      <w:r w:rsidR="00FC28D5">
        <w:rPr>
          <w:rFonts w:ascii="Arial" w:hAnsi="Arial" w:cs="Arial"/>
          <w:szCs w:val="22"/>
        </w:rPr>
        <w:t>ЕИО</w:t>
      </w:r>
      <w:r w:rsidRPr="005123AD">
        <w:rPr>
          <w:rFonts w:ascii="Arial" w:hAnsi="Arial" w:cs="Arial"/>
          <w:szCs w:val="22"/>
        </w:rPr>
        <w:t xml:space="preserve"> учитывает интересы третьих лиц, в том числе кредиторов Общества, государства и муниципального образования, на территории которого находится Общество.</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Органы управления Общества содействуют заинтересованности работников Общества в его эффективной работе.</w:t>
      </w:r>
    </w:p>
    <w:p w:rsidR="00C1537B" w:rsidRPr="005123AD" w:rsidRDefault="00C1537B" w:rsidP="00C1537B">
      <w:pPr>
        <w:pStyle w:val="a5"/>
        <w:spacing w:before="120" w:after="120"/>
        <w:ind w:firstLine="709"/>
        <w:rPr>
          <w:rFonts w:ascii="Arial" w:hAnsi="Arial" w:cs="Arial"/>
          <w:szCs w:val="22"/>
        </w:rPr>
      </w:pPr>
      <w:r w:rsidRPr="005123AD">
        <w:rPr>
          <w:rFonts w:ascii="Arial" w:hAnsi="Arial" w:cs="Arial"/>
          <w:szCs w:val="22"/>
        </w:rPr>
        <w:t>В Обществе действует система эффективного контроля над финансово-хозяйственной деятельностью.</w:t>
      </w:r>
    </w:p>
    <w:p w:rsidR="00C1537B" w:rsidRPr="00E900B1" w:rsidRDefault="00C1537B" w:rsidP="00C1537B">
      <w:pPr>
        <w:pStyle w:val="a5"/>
        <w:spacing w:before="120" w:after="120"/>
        <w:ind w:firstLine="709"/>
        <w:rPr>
          <w:rFonts w:ascii="Arial" w:hAnsi="Arial" w:cs="Arial"/>
          <w:szCs w:val="22"/>
        </w:rPr>
      </w:pPr>
      <w:r w:rsidRPr="00E900B1">
        <w:rPr>
          <w:rFonts w:ascii="Arial" w:hAnsi="Arial" w:cs="Arial"/>
          <w:szCs w:val="22"/>
        </w:rPr>
        <w:t>Оценка соблюдения принципов корпоративного управления, закрепленных Кодексом к</w:t>
      </w:r>
      <w:r>
        <w:rPr>
          <w:rFonts w:ascii="Arial" w:hAnsi="Arial" w:cs="Arial"/>
          <w:szCs w:val="22"/>
        </w:rPr>
        <w:t>орпоративного управления, за 2020</w:t>
      </w:r>
      <w:r w:rsidRPr="00E900B1">
        <w:rPr>
          <w:rFonts w:ascii="Arial" w:hAnsi="Arial" w:cs="Arial"/>
          <w:szCs w:val="22"/>
        </w:rPr>
        <w:t xml:space="preserve"> год произведена Обществом самостоятельно.</w:t>
      </w:r>
    </w:p>
    <w:p w:rsidR="00C1537B" w:rsidRPr="00E900B1" w:rsidRDefault="00C1537B" w:rsidP="00C1537B">
      <w:pPr>
        <w:pStyle w:val="a5"/>
        <w:spacing w:before="120" w:after="120"/>
        <w:ind w:firstLine="709"/>
        <w:rPr>
          <w:rFonts w:ascii="Arial" w:hAnsi="Arial" w:cs="Arial"/>
          <w:szCs w:val="22"/>
        </w:rPr>
      </w:pPr>
      <w:r w:rsidRPr="00E900B1">
        <w:rPr>
          <w:rFonts w:ascii="Arial" w:hAnsi="Arial" w:cs="Arial"/>
          <w:szCs w:val="22"/>
        </w:rPr>
        <w:t>Процедура проведения Обществом самостоятельной оценки соблюдения принципов корпоративного управления, закрепленных Кодексом корпоративного управления,  включает в себя:</w:t>
      </w:r>
    </w:p>
    <w:p w:rsidR="00C1537B" w:rsidRPr="005123AD" w:rsidRDefault="00C1537B" w:rsidP="00C1537B">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рабочей группы для организации проведения самооценки (рабочая группа состоит из работников отдела акционерной собственности).</w:t>
      </w:r>
    </w:p>
    <w:p w:rsidR="00C1537B" w:rsidRPr="005123AD" w:rsidRDefault="00C1537B" w:rsidP="00C1537B">
      <w:pPr>
        <w:pStyle w:val="a8"/>
        <w:numPr>
          <w:ilvl w:val="0"/>
          <w:numId w:val="22"/>
        </w:numPr>
        <w:spacing w:before="120" w:after="120"/>
        <w:ind w:left="709"/>
        <w:contextualSpacing/>
        <w:jc w:val="both"/>
        <w:rPr>
          <w:rFonts w:ascii="Arial" w:hAnsi="Arial" w:cs="Arial"/>
        </w:rPr>
      </w:pPr>
      <w:r w:rsidRPr="005123AD">
        <w:rPr>
          <w:rFonts w:ascii="Arial" w:hAnsi="Arial" w:cs="Arial"/>
        </w:rPr>
        <w:t xml:space="preserve">Подготовка и рассылка опросных листов директорам по направлениям и, выборочно, специалистам предприятия. Опросные листы составляются путем </w:t>
      </w:r>
      <w:r w:rsidRPr="005123AD">
        <w:rPr>
          <w:rFonts w:ascii="Arial" w:hAnsi="Arial" w:cs="Arial"/>
        </w:rPr>
        <w:lastRenderedPageBreak/>
        <w:t>перечисления критериев оценки по интервальной 10-балльной шкале. Базовыми критериями являются:</w:t>
      </w:r>
      <w:bookmarkStart w:id="66" w:name="5"/>
      <w:r w:rsidRPr="005123AD">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6"/>
      <w:r w:rsidRPr="005123AD">
        <w:rPr>
          <w:rFonts w:ascii="Arial" w:hAnsi="Arial" w:cs="Arial"/>
        </w:rPr>
        <w:t xml:space="preserve"> 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C1537B" w:rsidRPr="005123AD" w:rsidRDefault="00C1537B" w:rsidP="00C1537B">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таблицы оценок деятельности Общества по предложенным критериям.</w:t>
      </w:r>
    </w:p>
    <w:p w:rsidR="00C1537B" w:rsidRPr="005123AD" w:rsidRDefault="00C1537B" w:rsidP="00C1537B">
      <w:pPr>
        <w:pStyle w:val="a8"/>
        <w:numPr>
          <w:ilvl w:val="0"/>
          <w:numId w:val="22"/>
        </w:numPr>
        <w:spacing w:before="120" w:after="120"/>
        <w:ind w:left="709"/>
        <w:contextualSpacing/>
        <w:rPr>
          <w:rFonts w:ascii="Arial" w:hAnsi="Arial" w:cs="Arial"/>
        </w:rPr>
      </w:pPr>
      <w:r w:rsidRPr="005123AD">
        <w:rPr>
          <w:rFonts w:ascii="Arial" w:hAnsi="Arial" w:cs="Arial"/>
        </w:rPr>
        <w:t>Определение областей для улучшения.</w:t>
      </w:r>
    </w:p>
    <w:p w:rsidR="00C1537B" w:rsidRPr="00522FDB" w:rsidRDefault="00C1537B" w:rsidP="00C1537B">
      <w:pPr>
        <w:pStyle w:val="a5"/>
        <w:spacing w:before="120" w:after="120"/>
        <w:ind w:firstLine="709"/>
        <w:rPr>
          <w:rFonts w:ascii="Arial" w:hAnsi="Arial" w:cs="Arial"/>
          <w:sz w:val="22"/>
          <w:szCs w:val="22"/>
        </w:rPr>
      </w:pPr>
    </w:p>
    <w:p w:rsidR="00EF50A8" w:rsidRPr="005123AD" w:rsidRDefault="00EF50A8" w:rsidP="00C1537B">
      <w:pPr>
        <w:pStyle w:val="a5"/>
        <w:spacing w:before="120" w:after="120"/>
        <w:ind w:firstLine="709"/>
        <w:rPr>
          <w:rFonts w:ascii="Arial" w:hAnsi="Arial" w:cs="Arial"/>
        </w:rPr>
      </w:pPr>
    </w:p>
    <w:sectPr w:rsidR="00EF50A8" w:rsidRPr="005123AD" w:rsidSect="00CA521B">
      <w:footerReference w:type="default" r:id="rId14"/>
      <w:pgSz w:w="11906" w:h="16838" w:code="9"/>
      <w:pgMar w:top="709" w:right="1133" w:bottom="567" w:left="1134" w:header="0" w:footer="1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0B7" w:rsidRDefault="000D50B7" w:rsidP="000F5C1E">
      <w:r>
        <w:separator/>
      </w:r>
    </w:p>
  </w:endnote>
  <w:endnote w:type="continuationSeparator" w:id="0">
    <w:p w:rsidR="000D50B7" w:rsidRDefault="000D50B7" w:rsidP="000F5C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8095988"/>
      <w:docPartObj>
        <w:docPartGallery w:val="Page Numbers (Bottom of Page)"/>
        <w:docPartUnique/>
      </w:docPartObj>
    </w:sdtPr>
    <w:sdtContent>
      <w:p w:rsidR="00261690" w:rsidRDefault="00F92859">
        <w:pPr>
          <w:pStyle w:val="af3"/>
          <w:jc w:val="right"/>
        </w:pPr>
        <w:r>
          <w:fldChar w:fldCharType="begin"/>
        </w:r>
        <w:r w:rsidR="00DE2653">
          <w:instrText xml:space="preserve"> PAGE   \* MERGEFORMAT </w:instrText>
        </w:r>
        <w:r>
          <w:fldChar w:fldCharType="separate"/>
        </w:r>
        <w:r w:rsidR="0086231A">
          <w:rPr>
            <w:noProof/>
          </w:rPr>
          <w:t>32</w:t>
        </w:r>
        <w:r>
          <w:rPr>
            <w:noProof/>
          </w:rPr>
          <w:fldChar w:fldCharType="end"/>
        </w:r>
      </w:p>
    </w:sdtContent>
  </w:sdt>
  <w:p w:rsidR="00261690" w:rsidRDefault="0026169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0B7" w:rsidRDefault="000D50B7" w:rsidP="000F5C1E">
      <w:r>
        <w:separator/>
      </w:r>
    </w:p>
  </w:footnote>
  <w:footnote w:type="continuationSeparator" w:id="0">
    <w:p w:rsidR="000D50B7" w:rsidRDefault="000D50B7" w:rsidP="000F5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5164742"/>
    <w:multiLevelType w:val="hybridMultilevel"/>
    <w:tmpl w:val="FB7C83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193BE9"/>
    <w:multiLevelType w:val="hybridMultilevel"/>
    <w:tmpl w:val="737CCAE0"/>
    <w:lvl w:ilvl="0" w:tplc="BB30AB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5CF0A01"/>
    <w:multiLevelType w:val="hybridMultilevel"/>
    <w:tmpl w:val="085C0E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38793F"/>
    <w:multiLevelType w:val="hybridMultilevel"/>
    <w:tmpl w:val="53A0A4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0FD35472"/>
    <w:multiLevelType w:val="hybridMultilevel"/>
    <w:tmpl w:val="BBC871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7471E8"/>
    <w:multiLevelType w:val="hybridMultilevel"/>
    <w:tmpl w:val="66F05A44"/>
    <w:lvl w:ilvl="0" w:tplc="2F9AAB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DA23AE"/>
    <w:multiLevelType w:val="hybridMultilevel"/>
    <w:tmpl w:val="E6E6BB52"/>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F1B626C"/>
    <w:multiLevelType w:val="hybridMultilevel"/>
    <w:tmpl w:val="2C60E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A55513"/>
    <w:multiLevelType w:val="hybridMultilevel"/>
    <w:tmpl w:val="5C967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7A029D0"/>
    <w:multiLevelType w:val="hybridMultilevel"/>
    <w:tmpl w:val="3A88F18C"/>
    <w:lvl w:ilvl="0" w:tplc="DFF42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A963F93"/>
    <w:multiLevelType w:val="hybridMultilevel"/>
    <w:tmpl w:val="3BFA5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B445AC7"/>
    <w:multiLevelType w:val="hybridMultilevel"/>
    <w:tmpl w:val="BC583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E039A7"/>
    <w:multiLevelType w:val="hybridMultilevel"/>
    <w:tmpl w:val="12721F74"/>
    <w:lvl w:ilvl="0" w:tplc="0B1EBF6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23">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01C3D94"/>
    <w:multiLevelType w:val="hybridMultilevel"/>
    <w:tmpl w:val="35B4C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7F36EBE"/>
    <w:multiLevelType w:val="hybridMultilevel"/>
    <w:tmpl w:val="71B49562"/>
    <w:lvl w:ilvl="0" w:tplc="04190001">
      <w:start w:val="1"/>
      <w:numFmt w:val="bullet"/>
      <w:lvlText w:val=""/>
      <w:lvlJc w:val="left"/>
      <w:pPr>
        <w:ind w:left="2149" w:hanging="360"/>
      </w:pPr>
      <w:rPr>
        <w:rFonts w:ascii="Symbol" w:hAnsi="Symbol" w:hint="default"/>
      </w:rPr>
    </w:lvl>
    <w:lvl w:ilvl="1" w:tplc="BCD0FC92">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8">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9">
    <w:nsid w:val="4920065C"/>
    <w:multiLevelType w:val="hybridMultilevel"/>
    <w:tmpl w:val="51102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F9D0D3A"/>
    <w:multiLevelType w:val="hybridMultilevel"/>
    <w:tmpl w:val="402A0F9E"/>
    <w:lvl w:ilvl="0" w:tplc="0D42FA6A">
      <w:start w:val="1"/>
      <w:numFmt w:val="bullet"/>
      <w:lvlText w:val=""/>
      <w:lvlJc w:val="left"/>
      <w:pPr>
        <w:ind w:left="1146" w:hanging="360"/>
      </w:pPr>
      <w:rPr>
        <w:rFonts w:ascii="Symbol" w:hAnsi="Symbol" w:hint="default"/>
        <w:spacing w:val="0"/>
        <w:w w:val="100"/>
        <w:kern w:val="2"/>
        <w:position w:val="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57A6BC7"/>
    <w:multiLevelType w:val="hybridMultilevel"/>
    <w:tmpl w:val="229ABAA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33">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2D3E7E"/>
    <w:multiLevelType w:val="hybridMultilevel"/>
    <w:tmpl w:val="34609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31E339E"/>
    <w:multiLevelType w:val="hybridMultilevel"/>
    <w:tmpl w:val="CEA62C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4530F36"/>
    <w:multiLevelType w:val="hybridMultilevel"/>
    <w:tmpl w:val="75EA2210"/>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B8C2E45"/>
    <w:multiLevelType w:val="hybridMultilevel"/>
    <w:tmpl w:val="92A440C8"/>
    <w:lvl w:ilvl="0" w:tplc="57E69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07502DF"/>
    <w:multiLevelType w:val="hybridMultilevel"/>
    <w:tmpl w:val="8720765C"/>
    <w:lvl w:ilvl="0" w:tplc="A6F0D0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6A01B18"/>
    <w:multiLevelType w:val="hybridMultilevel"/>
    <w:tmpl w:val="9F04FBCC"/>
    <w:lvl w:ilvl="0" w:tplc="957AD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6"/>
  </w:num>
  <w:num w:numId="2">
    <w:abstractNumId w:val="26"/>
  </w:num>
  <w:num w:numId="3">
    <w:abstractNumId w:val="30"/>
  </w:num>
  <w:num w:numId="4">
    <w:abstractNumId w:val="12"/>
  </w:num>
  <w:num w:numId="5">
    <w:abstractNumId w:val="34"/>
  </w:num>
  <w:num w:numId="6">
    <w:abstractNumId w:val="4"/>
  </w:num>
  <w:num w:numId="7">
    <w:abstractNumId w:val="25"/>
  </w:num>
  <w:num w:numId="8">
    <w:abstractNumId w:val="28"/>
  </w:num>
  <w:num w:numId="9">
    <w:abstractNumId w:val="13"/>
  </w:num>
  <w:num w:numId="10">
    <w:abstractNumId w:val="38"/>
  </w:num>
  <w:num w:numId="11">
    <w:abstractNumId w:val="17"/>
  </w:num>
  <w:num w:numId="12">
    <w:abstractNumId w:val="33"/>
  </w:num>
  <w:num w:numId="13">
    <w:abstractNumId w:val="5"/>
  </w:num>
  <w:num w:numId="14">
    <w:abstractNumId w:val="40"/>
  </w:num>
  <w:num w:numId="15">
    <w:abstractNumId w:val="22"/>
  </w:num>
  <w:num w:numId="16">
    <w:abstractNumId w:val="14"/>
  </w:num>
  <w:num w:numId="17">
    <w:abstractNumId w:val="23"/>
  </w:num>
  <w:num w:numId="18">
    <w:abstractNumId w:val="6"/>
  </w:num>
  <w:num w:numId="19">
    <w:abstractNumId w:val="35"/>
  </w:num>
  <w:num w:numId="20">
    <w:abstractNumId w:val="44"/>
  </w:num>
  <w:num w:numId="21">
    <w:abstractNumId w:val="9"/>
  </w:num>
  <w:num w:numId="22">
    <w:abstractNumId w:val="0"/>
  </w:num>
  <w:num w:numId="23">
    <w:abstractNumId w:val="36"/>
  </w:num>
  <w:num w:numId="24">
    <w:abstractNumId w:val="24"/>
  </w:num>
  <w:num w:numId="25">
    <w:abstractNumId w:val="41"/>
  </w:num>
  <w:num w:numId="26">
    <w:abstractNumId w:val="31"/>
  </w:num>
  <w:num w:numId="27">
    <w:abstractNumId w:val="27"/>
  </w:num>
  <w:num w:numId="28">
    <w:abstractNumId w:val="39"/>
  </w:num>
  <w:num w:numId="29">
    <w:abstractNumId w:val="11"/>
  </w:num>
  <w:num w:numId="30">
    <w:abstractNumId w:val="21"/>
  </w:num>
  <w:num w:numId="31">
    <w:abstractNumId w:val="7"/>
  </w:num>
  <w:num w:numId="32">
    <w:abstractNumId w:val="20"/>
  </w:num>
  <w:num w:numId="33">
    <w:abstractNumId w:val="8"/>
  </w:num>
  <w:num w:numId="34">
    <w:abstractNumId w:val="32"/>
  </w:num>
  <w:num w:numId="35">
    <w:abstractNumId w:val="3"/>
  </w:num>
  <w:num w:numId="36">
    <w:abstractNumId w:val="15"/>
  </w:num>
  <w:num w:numId="37">
    <w:abstractNumId w:val="42"/>
  </w:num>
  <w:num w:numId="38">
    <w:abstractNumId w:val="43"/>
  </w:num>
  <w:num w:numId="39">
    <w:abstractNumId w:val="19"/>
  </w:num>
  <w:num w:numId="40">
    <w:abstractNumId w:val="10"/>
  </w:num>
  <w:num w:numId="41">
    <w:abstractNumId w:val="29"/>
  </w:num>
  <w:num w:numId="42">
    <w:abstractNumId w:val="13"/>
  </w:num>
  <w:num w:numId="43">
    <w:abstractNumId w:val="28"/>
  </w:num>
  <w:num w:numId="44">
    <w:abstractNumId w:val="18"/>
  </w:num>
  <w:num w:numId="45">
    <w:abstractNumId w:val="1"/>
  </w:num>
  <w:num w:numId="46">
    <w:abstractNumId w:val="37"/>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91F9F"/>
    <w:rsid w:val="00000A13"/>
    <w:rsid w:val="00000C0C"/>
    <w:rsid w:val="0000161E"/>
    <w:rsid w:val="00003266"/>
    <w:rsid w:val="000044AA"/>
    <w:rsid w:val="00004CEF"/>
    <w:rsid w:val="00005089"/>
    <w:rsid w:val="0000588A"/>
    <w:rsid w:val="0000604B"/>
    <w:rsid w:val="00010D11"/>
    <w:rsid w:val="00011325"/>
    <w:rsid w:val="00012B4C"/>
    <w:rsid w:val="00013532"/>
    <w:rsid w:val="00013912"/>
    <w:rsid w:val="000147AE"/>
    <w:rsid w:val="0001515B"/>
    <w:rsid w:val="00015863"/>
    <w:rsid w:val="00015D48"/>
    <w:rsid w:val="000168C5"/>
    <w:rsid w:val="00016AD1"/>
    <w:rsid w:val="00016D19"/>
    <w:rsid w:val="00017345"/>
    <w:rsid w:val="000174AE"/>
    <w:rsid w:val="00020A88"/>
    <w:rsid w:val="00021301"/>
    <w:rsid w:val="00022FF1"/>
    <w:rsid w:val="000237A6"/>
    <w:rsid w:val="00023E2E"/>
    <w:rsid w:val="000241CF"/>
    <w:rsid w:val="00024242"/>
    <w:rsid w:val="00024ECE"/>
    <w:rsid w:val="00025F41"/>
    <w:rsid w:val="00026176"/>
    <w:rsid w:val="0002644D"/>
    <w:rsid w:val="00026B5D"/>
    <w:rsid w:val="00026E4F"/>
    <w:rsid w:val="000275C1"/>
    <w:rsid w:val="00030328"/>
    <w:rsid w:val="00030681"/>
    <w:rsid w:val="000321F1"/>
    <w:rsid w:val="000323EC"/>
    <w:rsid w:val="00032D41"/>
    <w:rsid w:val="00033673"/>
    <w:rsid w:val="000342CC"/>
    <w:rsid w:val="000345A4"/>
    <w:rsid w:val="00034871"/>
    <w:rsid w:val="00034EA6"/>
    <w:rsid w:val="000356CB"/>
    <w:rsid w:val="000369E8"/>
    <w:rsid w:val="00036F04"/>
    <w:rsid w:val="00037E37"/>
    <w:rsid w:val="0004032E"/>
    <w:rsid w:val="000403CB"/>
    <w:rsid w:val="000408C2"/>
    <w:rsid w:val="00040E35"/>
    <w:rsid w:val="000416F6"/>
    <w:rsid w:val="00042B0D"/>
    <w:rsid w:val="00043964"/>
    <w:rsid w:val="0004399D"/>
    <w:rsid w:val="00043BFF"/>
    <w:rsid w:val="00044106"/>
    <w:rsid w:val="00044683"/>
    <w:rsid w:val="00044980"/>
    <w:rsid w:val="00044C17"/>
    <w:rsid w:val="0004578C"/>
    <w:rsid w:val="00045AE9"/>
    <w:rsid w:val="00045FA9"/>
    <w:rsid w:val="00046278"/>
    <w:rsid w:val="000470E8"/>
    <w:rsid w:val="00047E09"/>
    <w:rsid w:val="000507B5"/>
    <w:rsid w:val="00050D34"/>
    <w:rsid w:val="00050F0F"/>
    <w:rsid w:val="000515D3"/>
    <w:rsid w:val="0005169E"/>
    <w:rsid w:val="00051763"/>
    <w:rsid w:val="00051AB1"/>
    <w:rsid w:val="00051B38"/>
    <w:rsid w:val="00051B9E"/>
    <w:rsid w:val="00051F44"/>
    <w:rsid w:val="00054300"/>
    <w:rsid w:val="000559C6"/>
    <w:rsid w:val="0005627F"/>
    <w:rsid w:val="00056340"/>
    <w:rsid w:val="00056785"/>
    <w:rsid w:val="00056C07"/>
    <w:rsid w:val="00056CBB"/>
    <w:rsid w:val="000603E8"/>
    <w:rsid w:val="0006201D"/>
    <w:rsid w:val="000626B2"/>
    <w:rsid w:val="00063DC1"/>
    <w:rsid w:val="0006528F"/>
    <w:rsid w:val="00065653"/>
    <w:rsid w:val="00065799"/>
    <w:rsid w:val="0006598E"/>
    <w:rsid w:val="00065B89"/>
    <w:rsid w:val="0006626C"/>
    <w:rsid w:val="00066A5B"/>
    <w:rsid w:val="000706D3"/>
    <w:rsid w:val="000710FB"/>
    <w:rsid w:val="000718EB"/>
    <w:rsid w:val="00071D93"/>
    <w:rsid w:val="000720EF"/>
    <w:rsid w:val="0007214C"/>
    <w:rsid w:val="000721F6"/>
    <w:rsid w:val="00073B37"/>
    <w:rsid w:val="00073FD1"/>
    <w:rsid w:val="0007548D"/>
    <w:rsid w:val="00075AC8"/>
    <w:rsid w:val="0007653B"/>
    <w:rsid w:val="00076869"/>
    <w:rsid w:val="00076FD1"/>
    <w:rsid w:val="0008189D"/>
    <w:rsid w:val="00081A9F"/>
    <w:rsid w:val="00081DAA"/>
    <w:rsid w:val="00082B6E"/>
    <w:rsid w:val="0008452A"/>
    <w:rsid w:val="000854EA"/>
    <w:rsid w:val="00085648"/>
    <w:rsid w:val="00085CE1"/>
    <w:rsid w:val="0008659C"/>
    <w:rsid w:val="00087C79"/>
    <w:rsid w:val="00087F1E"/>
    <w:rsid w:val="00090545"/>
    <w:rsid w:val="00091826"/>
    <w:rsid w:val="00092199"/>
    <w:rsid w:val="000924FA"/>
    <w:rsid w:val="0009411D"/>
    <w:rsid w:val="00094AE9"/>
    <w:rsid w:val="00095B37"/>
    <w:rsid w:val="00095C48"/>
    <w:rsid w:val="0009676B"/>
    <w:rsid w:val="000A1D83"/>
    <w:rsid w:val="000A24C3"/>
    <w:rsid w:val="000A288F"/>
    <w:rsid w:val="000A2D34"/>
    <w:rsid w:val="000A2DDA"/>
    <w:rsid w:val="000A3076"/>
    <w:rsid w:val="000A4486"/>
    <w:rsid w:val="000A4545"/>
    <w:rsid w:val="000A4683"/>
    <w:rsid w:val="000A4AEA"/>
    <w:rsid w:val="000A515E"/>
    <w:rsid w:val="000A6533"/>
    <w:rsid w:val="000B0E2C"/>
    <w:rsid w:val="000B1207"/>
    <w:rsid w:val="000B1925"/>
    <w:rsid w:val="000B27DC"/>
    <w:rsid w:val="000B3147"/>
    <w:rsid w:val="000B33C3"/>
    <w:rsid w:val="000B3C42"/>
    <w:rsid w:val="000B4521"/>
    <w:rsid w:val="000B47E8"/>
    <w:rsid w:val="000B58AB"/>
    <w:rsid w:val="000B60FE"/>
    <w:rsid w:val="000B65D8"/>
    <w:rsid w:val="000B662C"/>
    <w:rsid w:val="000B700E"/>
    <w:rsid w:val="000B740F"/>
    <w:rsid w:val="000B7BEA"/>
    <w:rsid w:val="000C0465"/>
    <w:rsid w:val="000C1860"/>
    <w:rsid w:val="000C1B7A"/>
    <w:rsid w:val="000C2002"/>
    <w:rsid w:val="000C2A73"/>
    <w:rsid w:val="000C38F0"/>
    <w:rsid w:val="000C3DC2"/>
    <w:rsid w:val="000C3F9E"/>
    <w:rsid w:val="000C4466"/>
    <w:rsid w:val="000C4EBC"/>
    <w:rsid w:val="000C5D37"/>
    <w:rsid w:val="000C5E49"/>
    <w:rsid w:val="000C5E7F"/>
    <w:rsid w:val="000C7A5E"/>
    <w:rsid w:val="000C7EFD"/>
    <w:rsid w:val="000D14A7"/>
    <w:rsid w:val="000D2204"/>
    <w:rsid w:val="000D2745"/>
    <w:rsid w:val="000D275D"/>
    <w:rsid w:val="000D3638"/>
    <w:rsid w:val="000D3CDA"/>
    <w:rsid w:val="000D50B7"/>
    <w:rsid w:val="000D5468"/>
    <w:rsid w:val="000D555B"/>
    <w:rsid w:val="000D6A8D"/>
    <w:rsid w:val="000D6E00"/>
    <w:rsid w:val="000E2F43"/>
    <w:rsid w:val="000E3FF7"/>
    <w:rsid w:val="000E58C4"/>
    <w:rsid w:val="000E5933"/>
    <w:rsid w:val="000E66D7"/>
    <w:rsid w:val="000E6B73"/>
    <w:rsid w:val="000F02F5"/>
    <w:rsid w:val="000F0910"/>
    <w:rsid w:val="000F25D0"/>
    <w:rsid w:val="000F2806"/>
    <w:rsid w:val="000F2986"/>
    <w:rsid w:val="000F461D"/>
    <w:rsid w:val="000F4936"/>
    <w:rsid w:val="000F5A2E"/>
    <w:rsid w:val="000F5C1E"/>
    <w:rsid w:val="000F6272"/>
    <w:rsid w:val="000F62B2"/>
    <w:rsid w:val="000F6590"/>
    <w:rsid w:val="000F6CD1"/>
    <w:rsid w:val="00100203"/>
    <w:rsid w:val="00101EC6"/>
    <w:rsid w:val="001039CD"/>
    <w:rsid w:val="00104C6A"/>
    <w:rsid w:val="00104D75"/>
    <w:rsid w:val="0010504A"/>
    <w:rsid w:val="00105E39"/>
    <w:rsid w:val="00105F47"/>
    <w:rsid w:val="001067E5"/>
    <w:rsid w:val="00107BE3"/>
    <w:rsid w:val="00110520"/>
    <w:rsid w:val="001112BB"/>
    <w:rsid w:val="00111553"/>
    <w:rsid w:val="00111845"/>
    <w:rsid w:val="00111A65"/>
    <w:rsid w:val="001120F1"/>
    <w:rsid w:val="00112D68"/>
    <w:rsid w:val="0011303C"/>
    <w:rsid w:val="00113A6D"/>
    <w:rsid w:val="00113B66"/>
    <w:rsid w:val="00114120"/>
    <w:rsid w:val="00114EE1"/>
    <w:rsid w:val="0011517A"/>
    <w:rsid w:val="00116445"/>
    <w:rsid w:val="00117B69"/>
    <w:rsid w:val="0012040D"/>
    <w:rsid w:val="001205B0"/>
    <w:rsid w:val="00120BDA"/>
    <w:rsid w:val="00120C69"/>
    <w:rsid w:val="00120E57"/>
    <w:rsid w:val="00120FFA"/>
    <w:rsid w:val="00123AE7"/>
    <w:rsid w:val="00123B51"/>
    <w:rsid w:val="001254B2"/>
    <w:rsid w:val="00126327"/>
    <w:rsid w:val="00126ECB"/>
    <w:rsid w:val="001271EE"/>
    <w:rsid w:val="00127458"/>
    <w:rsid w:val="00127634"/>
    <w:rsid w:val="00127AD8"/>
    <w:rsid w:val="00130680"/>
    <w:rsid w:val="001313FB"/>
    <w:rsid w:val="00131ED4"/>
    <w:rsid w:val="00132398"/>
    <w:rsid w:val="00132F39"/>
    <w:rsid w:val="00133176"/>
    <w:rsid w:val="00134284"/>
    <w:rsid w:val="00134BAD"/>
    <w:rsid w:val="001356C7"/>
    <w:rsid w:val="00136891"/>
    <w:rsid w:val="00137657"/>
    <w:rsid w:val="001378B0"/>
    <w:rsid w:val="001405A1"/>
    <w:rsid w:val="00140E76"/>
    <w:rsid w:val="0014106F"/>
    <w:rsid w:val="0014147E"/>
    <w:rsid w:val="00141B4E"/>
    <w:rsid w:val="00141CD7"/>
    <w:rsid w:val="00142177"/>
    <w:rsid w:val="0014473C"/>
    <w:rsid w:val="001456BB"/>
    <w:rsid w:val="00145EF5"/>
    <w:rsid w:val="0014650D"/>
    <w:rsid w:val="00146645"/>
    <w:rsid w:val="00147DF5"/>
    <w:rsid w:val="0015015C"/>
    <w:rsid w:val="00150309"/>
    <w:rsid w:val="001507A5"/>
    <w:rsid w:val="0015087D"/>
    <w:rsid w:val="00150EDE"/>
    <w:rsid w:val="00150F46"/>
    <w:rsid w:val="00151382"/>
    <w:rsid w:val="001513F9"/>
    <w:rsid w:val="001515E8"/>
    <w:rsid w:val="00151CCE"/>
    <w:rsid w:val="001522C2"/>
    <w:rsid w:val="00152BF0"/>
    <w:rsid w:val="00152D4C"/>
    <w:rsid w:val="00152E5A"/>
    <w:rsid w:val="0015381F"/>
    <w:rsid w:val="00154154"/>
    <w:rsid w:val="00154235"/>
    <w:rsid w:val="00154A65"/>
    <w:rsid w:val="00155163"/>
    <w:rsid w:val="00155E0F"/>
    <w:rsid w:val="00156C76"/>
    <w:rsid w:val="0015729B"/>
    <w:rsid w:val="001576F5"/>
    <w:rsid w:val="0016014B"/>
    <w:rsid w:val="00160CC4"/>
    <w:rsid w:val="00162CB9"/>
    <w:rsid w:val="00162DD1"/>
    <w:rsid w:val="0016392D"/>
    <w:rsid w:val="00163CB6"/>
    <w:rsid w:val="00164224"/>
    <w:rsid w:val="001642CD"/>
    <w:rsid w:val="00165172"/>
    <w:rsid w:val="00165A0D"/>
    <w:rsid w:val="00165BEB"/>
    <w:rsid w:val="00165C4E"/>
    <w:rsid w:val="00166830"/>
    <w:rsid w:val="00167151"/>
    <w:rsid w:val="0017077F"/>
    <w:rsid w:val="00170F23"/>
    <w:rsid w:val="001710D7"/>
    <w:rsid w:val="001712EF"/>
    <w:rsid w:val="00171DBD"/>
    <w:rsid w:val="00172AB3"/>
    <w:rsid w:val="0017304C"/>
    <w:rsid w:val="00173FE5"/>
    <w:rsid w:val="001743AE"/>
    <w:rsid w:val="001745CA"/>
    <w:rsid w:val="001747EB"/>
    <w:rsid w:val="001763EA"/>
    <w:rsid w:val="00176C75"/>
    <w:rsid w:val="0018141E"/>
    <w:rsid w:val="00182749"/>
    <w:rsid w:val="001827AF"/>
    <w:rsid w:val="00183F48"/>
    <w:rsid w:val="00184365"/>
    <w:rsid w:val="001844B1"/>
    <w:rsid w:val="00184707"/>
    <w:rsid w:val="0018472C"/>
    <w:rsid w:val="00184A0F"/>
    <w:rsid w:val="00184DFB"/>
    <w:rsid w:val="0018514A"/>
    <w:rsid w:val="0018578A"/>
    <w:rsid w:val="00185B7C"/>
    <w:rsid w:val="001863F0"/>
    <w:rsid w:val="00187C2A"/>
    <w:rsid w:val="00190BEC"/>
    <w:rsid w:val="00191079"/>
    <w:rsid w:val="001921F5"/>
    <w:rsid w:val="0019280D"/>
    <w:rsid w:val="001932F1"/>
    <w:rsid w:val="00193706"/>
    <w:rsid w:val="00193FAD"/>
    <w:rsid w:val="00195287"/>
    <w:rsid w:val="0019712B"/>
    <w:rsid w:val="001973B4"/>
    <w:rsid w:val="00197A30"/>
    <w:rsid w:val="00197C3C"/>
    <w:rsid w:val="001A16FF"/>
    <w:rsid w:val="001A1802"/>
    <w:rsid w:val="001A21B8"/>
    <w:rsid w:val="001A32A2"/>
    <w:rsid w:val="001A444C"/>
    <w:rsid w:val="001A4475"/>
    <w:rsid w:val="001A59F1"/>
    <w:rsid w:val="001A625E"/>
    <w:rsid w:val="001A6BCF"/>
    <w:rsid w:val="001A7AA4"/>
    <w:rsid w:val="001A7E03"/>
    <w:rsid w:val="001B0085"/>
    <w:rsid w:val="001B04E6"/>
    <w:rsid w:val="001B10F3"/>
    <w:rsid w:val="001B1F2F"/>
    <w:rsid w:val="001B2464"/>
    <w:rsid w:val="001B2C1F"/>
    <w:rsid w:val="001B3557"/>
    <w:rsid w:val="001B3CD4"/>
    <w:rsid w:val="001B48AE"/>
    <w:rsid w:val="001B5662"/>
    <w:rsid w:val="001B5E4A"/>
    <w:rsid w:val="001B5F32"/>
    <w:rsid w:val="001B5FD9"/>
    <w:rsid w:val="001B647D"/>
    <w:rsid w:val="001C06AE"/>
    <w:rsid w:val="001C0712"/>
    <w:rsid w:val="001C0883"/>
    <w:rsid w:val="001C0C31"/>
    <w:rsid w:val="001C2884"/>
    <w:rsid w:val="001C648F"/>
    <w:rsid w:val="001C69C6"/>
    <w:rsid w:val="001C6F3C"/>
    <w:rsid w:val="001C71D5"/>
    <w:rsid w:val="001D043D"/>
    <w:rsid w:val="001D14D6"/>
    <w:rsid w:val="001D1FC8"/>
    <w:rsid w:val="001D228D"/>
    <w:rsid w:val="001D2868"/>
    <w:rsid w:val="001D2995"/>
    <w:rsid w:val="001D3AFF"/>
    <w:rsid w:val="001D480A"/>
    <w:rsid w:val="001D482A"/>
    <w:rsid w:val="001D4873"/>
    <w:rsid w:val="001D56B6"/>
    <w:rsid w:val="001D6106"/>
    <w:rsid w:val="001D618A"/>
    <w:rsid w:val="001D64B6"/>
    <w:rsid w:val="001D6B7E"/>
    <w:rsid w:val="001D6F98"/>
    <w:rsid w:val="001D72EC"/>
    <w:rsid w:val="001D74AC"/>
    <w:rsid w:val="001E0693"/>
    <w:rsid w:val="001E0B78"/>
    <w:rsid w:val="001E0FB3"/>
    <w:rsid w:val="001E13A1"/>
    <w:rsid w:val="001E241F"/>
    <w:rsid w:val="001E4636"/>
    <w:rsid w:val="001E5AE7"/>
    <w:rsid w:val="001E62E5"/>
    <w:rsid w:val="001E6895"/>
    <w:rsid w:val="001E6E94"/>
    <w:rsid w:val="001E71D6"/>
    <w:rsid w:val="001E76D8"/>
    <w:rsid w:val="001E77DA"/>
    <w:rsid w:val="001E7999"/>
    <w:rsid w:val="001E79E7"/>
    <w:rsid w:val="001E7DAD"/>
    <w:rsid w:val="001F0C2B"/>
    <w:rsid w:val="001F1589"/>
    <w:rsid w:val="001F1DC7"/>
    <w:rsid w:val="001F1DDB"/>
    <w:rsid w:val="001F2727"/>
    <w:rsid w:val="001F2A9D"/>
    <w:rsid w:val="001F3826"/>
    <w:rsid w:val="001F3E48"/>
    <w:rsid w:val="001F4783"/>
    <w:rsid w:val="001F5509"/>
    <w:rsid w:val="001F59F0"/>
    <w:rsid w:val="001F70A5"/>
    <w:rsid w:val="00200713"/>
    <w:rsid w:val="002039D9"/>
    <w:rsid w:val="00204A4B"/>
    <w:rsid w:val="00204CC5"/>
    <w:rsid w:val="00205750"/>
    <w:rsid w:val="00206015"/>
    <w:rsid w:val="002079BF"/>
    <w:rsid w:val="00207A10"/>
    <w:rsid w:val="00207B0D"/>
    <w:rsid w:val="00210EB8"/>
    <w:rsid w:val="0021126D"/>
    <w:rsid w:val="00211C97"/>
    <w:rsid w:val="00212DE8"/>
    <w:rsid w:val="00213510"/>
    <w:rsid w:val="002138D7"/>
    <w:rsid w:val="002141F5"/>
    <w:rsid w:val="00214B67"/>
    <w:rsid w:val="0021601B"/>
    <w:rsid w:val="0021673A"/>
    <w:rsid w:val="00216AE0"/>
    <w:rsid w:val="00217373"/>
    <w:rsid w:val="002178E5"/>
    <w:rsid w:val="0022000C"/>
    <w:rsid w:val="00220019"/>
    <w:rsid w:val="00220885"/>
    <w:rsid w:val="00220C06"/>
    <w:rsid w:val="00222DEB"/>
    <w:rsid w:val="0022323C"/>
    <w:rsid w:val="002245C9"/>
    <w:rsid w:val="00224EE0"/>
    <w:rsid w:val="00225B3D"/>
    <w:rsid w:val="00226395"/>
    <w:rsid w:val="002279B6"/>
    <w:rsid w:val="0023035C"/>
    <w:rsid w:val="00230540"/>
    <w:rsid w:val="00230EAC"/>
    <w:rsid w:val="00231615"/>
    <w:rsid w:val="00232A7B"/>
    <w:rsid w:val="00232A81"/>
    <w:rsid w:val="002333DB"/>
    <w:rsid w:val="0023361C"/>
    <w:rsid w:val="00233898"/>
    <w:rsid w:val="00235C58"/>
    <w:rsid w:val="002365E8"/>
    <w:rsid w:val="0023674F"/>
    <w:rsid w:val="00236922"/>
    <w:rsid w:val="00236AA8"/>
    <w:rsid w:val="00237221"/>
    <w:rsid w:val="00237FB1"/>
    <w:rsid w:val="00240224"/>
    <w:rsid w:val="0024179F"/>
    <w:rsid w:val="002418EC"/>
    <w:rsid w:val="00241D76"/>
    <w:rsid w:val="00242DA0"/>
    <w:rsid w:val="00243C11"/>
    <w:rsid w:val="002451BD"/>
    <w:rsid w:val="002469E5"/>
    <w:rsid w:val="002471AD"/>
    <w:rsid w:val="00247CA6"/>
    <w:rsid w:val="00250D01"/>
    <w:rsid w:val="002519E4"/>
    <w:rsid w:val="00254829"/>
    <w:rsid w:val="00254850"/>
    <w:rsid w:val="00254870"/>
    <w:rsid w:val="00255891"/>
    <w:rsid w:val="00255C22"/>
    <w:rsid w:val="00255EE9"/>
    <w:rsid w:val="002563F6"/>
    <w:rsid w:val="00256864"/>
    <w:rsid w:val="0025788F"/>
    <w:rsid w:val="00257F33"/>
    <w:rsid w:val="00260ABB"/>
    <w:rsid w:val="00260BA6"/>
    <w:rsid w:val="00260C20"/>
    <w:rsid w:val="00261690"/>
    <w:rsid w:val="0026187A"/>
    <w:rsid w:val="00263988"/>
    <w:rsid w:val="00264DE5"/>
    <w:rsid w:val="00266330"/>
    <w:rsid w:val="002663EB"/>
    <w:rsid w:val="00266B25"/>
    <w:rsid w:val="00266B83"/>
    <w:rsid w:val="002673C3"/>
    <w:rsid w:val="00270413"/>
    <w:rsid w:val="002714E4"/>
    <w:rsid w:val="00272E6A"/>
    <w:rsid w:val="002733B5"/>
    <w:rsid w:val="0027343B"/>
    <w:rsid w:val="00273458"/>
    <w:rsid w:val="00274B03"/>
    <w:rsid w:val="00274CC5"/>
    <w:rsid w:val="00274DA9"/>
    <w:rsid w:val="002765C6"/>
    <w:rsid w:val="0027685B"/>
    <w:rsid w:val="00277824"/>
    <w:rsid w:val="0028061D"/>
    <w:rsid w:val="00280ABB"/>
    <w:rsid w:val="00280F10"/>
    <w:rsid w:val="00281097"/>
    <w:rsid w:val="002811A3"/>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4DA5"/>
    <w:rsid w:val="00295E16"/>
    <w:rsid w:val="002971B8"/>
    <w:rsid w:val="002A0765"/>
    <w:rsid w:val="002A102E"/>
    <w:rsid w:val="002A1894"/>
    <w:rsid w:val="002A1BE2"/>
    <w:rsid w:val="002A1FB4"/>
    <w:rsid w:val="002A20A2"/>
    <w:rsid w:val="002A28F8"/>
    <w:rsid w:val="002A3789"/>
    <w:rsid w:val="002A396E"/>
    <w:rsid w:val="002A480F"/>
    <w:rsid w:val="002B01AF"/>
    <w:rsid w:val="002B0884"/>
    <w:rsid w:val="002B1565"/>
    <w:rsid w:val="002B3708"/>
    <w:rsid w:val="002B3880"/>
    <w:rsid w:val="002B5B9E"/>
    <w:rsid w:val="002B6211"/>
    <w:rsid w:val="002B62C2"/>
    <w:rsid w:val="002B74BA"/>
    <w:rsid w:val="002B75B1"/>
    <w:rsid w:val="002C1F0D"/>
    <w:rsid w:val="002C2E6C"/>
    <w:rsid w:val="002C2EE8"/>
    <w:rsid w:val="002C3178"/>
    <w:rsid w:val="002C3CC0"/>
    <w:rsid w:val="002C3D82"/>
    <w:rsid w:val="002C3F9F"/>
    <w:rsid w:val="002C4E92"/>
    <w:rsid w:val="002C5889"/>
    <w:rsid w:val="002C6093"/>
    <w:rsid w:val="002C648A"/>
    <w:rsid w:val="002C671B"/>
    <w:rsid w:val="002C7138"/>
    <w:rsid w:val="002D0384"/>
    <w:rsid w:val="002D0F8A"/>
    <w:rsid w:val="002D10DA"/>
    <w:rsid w:val="002D1415"/>
    <w:rsid w:val="002D16FD"/>
    <w:rsid w:val="002D1AC7"/>
    <w:rsid w:val="002D22E1"/>
    <w:rsid w:val="002D2978"/>
    <w:rsid w:val="002D299A"/>
    <w:rsid w:val="002D2E23"/>
    <w:rsid w:val="002D47D2"/>
    <w:rsid w:val="002D4F1F"/>
    <w:rsid w:val="002D59E9"/>
    <w:rsid w:val="002D6042"/>
    <w:rsid w:val="002D6971"/>
    <w:rsid w:val="002E0454"/>
    <w:rsid w:val="002E0D4B"/>
    <w:rsid w:val="002E148B"/>
    <w:rsid w:val="002E27FB"/>
    <w:rsid w:val="002E2A24"/>
    <w:rsid w:val="002E4292"/>
    <w:rsid w:val="002E482C"/>
    <w:rsid w:val="002E5336"/>
    <w:rsid w:val="002E5996"/>
    <w:rsid w:val="002E7D6C"/>
    <w:rsid w:val="002E7EBC"/>
    <w:rsid w:val="002F05C1"/>
    <w:rsid w:val="002F0CBC"/>
    <w:rsid w:val="002F0CE9"/>
    <w:rsid w:val="002F119C"/>
    <w:rsid w:val="002F1275"/>
    <w:rsid w:val="002F136E"/>
    <w:rsid w:val="002F2101"/>
    <w:rsid w:val="002F2B86"/>
    <w:rsid w:val="002F339F"/>
    <w:rsid w:val="002F388B"/>
    <w:rsid w:val="002F438A"/>
    <w:rsid w:val="002F50C1"/>
    <w:rsid w:val="002F5504"/>
    <w:rsid w:val="002F5B03"/>
    <w:rsid w:val="002F68BE"/>
    <w:rsid w:val="002F7F05"/>
    <w:rsid w:val="003010B1"/>
    <w:rsid w:val="00302449"/>
    <w:rsid w:val="003043B5"/>
    <w:rsid w:val="003049FA"/>
    <w:rsid w:val="00304DD1"/>
    <w:rsid w:val="00306028"/>
    <w:rsid w:val="00306064"/>
    <w:rsid w:val="0030638B"/>
    <w:rsid w:val="0030695F"/>
    <w:rsid w:val="00306BCC"/>
    <w:rsid w:val="00306F12"/>
    <w:rsid w:val="00307999"/>
    <w:rsid w:val="00307BB8"/>
    <w:rsid w:val="00307C04"/>
    <w:rsid w:val="003109C4"/>
    <w:rsid w:val="00311EC9"/>
    <w:rsid w:val="00312F07"/>
    <w:rsid w:val="00313778"/>
    <w:rsid w:val="003138FA"/>
    <w:rsid w:val="003139E2"/>
    <w:rsid w:val="00314FF8"/>
    <w:rsid w:val="00316CE0"/>
    <w:rsid w:val="003171C1"/>
    <w:rsid w:val="003173BF"/>
    <w:rsid w:val="0031768B"/>
    <w:rsid w:val="00317A7E"/>
    <w:rsid w:val="00320677"/>
    <w:rsid w:val="00320A85"/>
    <w:rsid w:val="003228A2"/>
    <w:rsid w:val="00324BEF"/>
    <w:rsid w:val="00324EA0"/>
    <w:rsid w:val="003260E6"/>
    <w:rsid w:val="003262C7"/>
    <w:rsid w:val="00327EE6"/>
    <w:rsid w:val="00330EC2"/>
    <w:rsid w:val="00331501"/>
    <w:rsid w:val="0033159F"/>
    <w:rsid w:val="00331790"/>
    <w:rsid w:val="00331823"/>
    <w:rsid w:val="003337E4"/>
    <w:rsid w:val="003341B4"/>
    <w:rsid w:val="00334630"/>
    <w:rsid w:val="00334882"/>
    <w:rsid w:val="00334C5D"/>
    <w:rsid w:val="0033626B"/>
    <w:rsid w:val="00337124"/>
    <w:rsid w:val="00337630"/>
    <w:rsid w:val="00337666"/>
    <w:rsid w:val="00337D12"/>
    <w:rsid w:val="003402F0"/>
    <w:rsid w:val="00340DD6"/>
    <w:rsid w:val="00341428"/>
    <w:rsid w:val="00341DD9"/>
    <w:rsid w:val="00342AC0"/>
    <w:rsid w:val="00342F5D"/>
    <w:rsid w:val="00343547"/>
    <w:rsid w:val="00343734"/>
    <w:rsid w:val="00343B13"/>
    <w:rsid w:val="003469D5"/>
    <w:rsid w:val="00347D43"/>
    <w:rsid w:val="00347EA7"/>
    <w:rsid w:val="00350709"/>
    <w:rsid w:val="00351678"/>
    <w:rsid w:val="003519F4"/>
    <w:rsid w:val="0035263A"/>
    <w:rsid w:val="0035336A"/>
    <w:rsid w:val="003541CA"/>
    <w:rsid w:val="0035542D"/>
    <w:rsid w:val="0035544A"/>
    <w:rsid w:val="00357AFB"/>
    <w:rsid w:val="00360112"/>
    <w:rsid w:val="0036057E"/>
    <w:rsid w:val="00361598"/>
    <w:rsid w:val="0036219F"/>
    <w:rsid w:val="00362AEB"/>
    <w:rsid w:val="00362E85"/>
    <w:rsid w:val="00363B4D"/>
    <w:rsid w:val="0036455A"/>
    <w:rsid w:val="00364CC1"/>
    <w:rsid w:val="00365352"/>
    <w:rsid w:val="003654CE"/>
    <w:rsid w:val="00365979"/>
    <w:rsid w:val="0036647A"/>
    <w:rsid w:val="003667AE"/>
    <w:rsid w:val="00366D29"/>
    <w:rsid w:val="00366F94"/>
    <w:rsid w:val="00367E36"/>
    <w:rsid w:val="00367F14"/>
    <w:rsid w:val="00370364"/>
    <w:rsid w:val="0037062A"/>
    <w:rsid w:val="00370BE0"/>
    <w:rsid w:val="0037129B"/>
    <w:rsid w:val="00371E11"/>
    <w:rsid w:val="003720AA"/>
    <w:rsid w:val="0037216F"/>
    <w:rsid w:val="003727FE"/>
    <w:rsid w:val="00374E26"/>
    <w:rsid w:val="00375126"/>
    <w:rsid w:val="00375396"/>
    <w:rsid w:val="003759A8"/>
    <w:rsid w:val="00375B09"/>
    <w:rsid w:val="00376612"/>
    <w:rsid w:val="00376885"/>
    <w:rsid w:val="00376F09"/>
    <w:rsid w:val="0038003F"/>
    <w:rsid w:val="00380290"/>
    <w:rsid w:val="00380630"/>
    <w:rsid w:val="003813BA"/>
    <w:rsid w:val="00382FBB"/>
    <w:rsid w:val="00383BD7"/>
    <w:rsid w:val="00383E22"/>
    <w:rsid w:val="00383F08"/>
    <w:rsid w:val="003849C0"/>
    <w:rsid w:val="003851D4"/>
    <w:rsid w:val="00385D58"/>
    <w:rsid w:val="0038702A"/>
    <w:rsid w:val="00387A3B"/>
    <w:rsid w:val="003901C7"/>
    <w:rsid w:val="0039048A"/>
    <w:rsid w:val="00390B08"/>
    <w:rsid w:val="00391167"/>
    <w:rsid w:val="00391E58"/>
    <w:rsid w:val="0039248C"/>
    <w:rsid w:val="003926D6"/>
    <w:rsid w:val="003932D2"/>
    <w:rsid w:val="0039375D"/>
    <w:rsid w:val="00394D3A"/>
    <w:rsid w:val="00395256"/>
    <w:rsid w:val="00395C26"/>
    <w:rsid w:val="003966CA"/>
    <w:rsid w:val="00396707"/>
    <w:rsid w:val="0039688C"/>
    <w:rsid w:val="00396B5B"/>
    <w:rsid w:val="00397336"/>
    <w:rsid w:val="003976D6"/>
    <w:rsid w:val="003A0A9E"/>
    <w:rsid w:val="003A143E"/>
    <w:rsid w:val="003A15E7"/>
    <w:rsid w:val="003A1EAA"/>
    <w:rsid w:val="003A2033"/>
    <w:rsid w:val="003A2268"/>
    <w:rsid w:val="003A38C1"/>
    <w:rsid w:val="003A3AA9"/>
    <w:rsid w:val="003A3B6D"/>
    <w:rsid w:val="003A3E40"/>
    <w:rsid w:val="003A43E1"/>
    <w:rsid w:val="003A56C4"/>
    <w:rsid w:val="003A5C7B"/>
    <w:rsid w:val="003A699B"/>
    <w:rsid w:val="003A6C36"/>
    <w:rsid w:val="003A6D67"/>
    <w:rsid w:val="003A7543"/>
    <w:rsid w:val="003A78BD"/>
    <w:rsid w:val="003A7D4D"/>
    <w:rsid w:val="003B0FF0"/>
    <w:rsid w:val="003B14E7"/>
    <w:rsid w:val="003B2B00"/>
    <w:rsid w:val="003B315E"/>
    <w:rsid w:val="003B330D"/>
    <w:rsid w:val="003B4863"/>
    <w:rsid w:val="003B48F3"/>
    <w:rsid w:val="003B5110"/>
    <w:rsid w:val="003B7773"/>
    <w:rsid w:val="003B7B81"/>
    <w:rsid w:val="003C010F"/>
    <w:rsid w:val="003C0812"/>
    <w:rsid w:val="003C0C5B"/>
    <w:rsid w:val="003C17C0"/>
    <w:rsid w:val="003C1AD4"/>
    <w:rsid w:val="003C23F1"/>
    <w:rsid w:val="003C2864"/>
    <w:rsid w:val="003C29FC"/>
    <w:rsid w:val="003C3506"/>
    <w:rsid w:val="003C37FA"/>
    <w:rsid w:val="003C390F"/>
    <w:rsid w:val="003C3A09"/>
    <w:rsid w:val="003C4303"/>
    <w:rsid w:val="003C47E8"/>
    <w:rsid w:val="003C68EC"/>
    <w:rsid w:val="003C69C6"/>
    <w:rsid w:val="003C749E"/>
    <w:rsid w:val="003D0580"/>
    <w:rsid w:val="003D0DB9"/>
    <w:rsid w:val="003D13BC"/>
    <w:rsid w:val="003D1B3B"/>
    <w:rsid w:val="003D21D1"/>
    <w:rsid w:val="003D3830"/>
    <w:rsid w:val="003D4BC1"/>
    <w:rsid w:val="003D4D9A"/>
    <w:rsid w:val="003D52E8"/>
    <w:rsid w:val="003D5333"/>
    <w:rsid w:val="003D5B71"/>
    <w:rsid w:val="003D5DD0"/>
    <w:rsid w:val="003D6D25"/>
    <w:rsid w:val="003D73F3"/>
    <w:rsid w:val="003D79E4"/>
    <w:rsid w:val="003E095D"/>
    <w:rsid w:val="003E21DA"/>
    <w:rsid w:val="003E2398"/>
    <w:rsid w:val="003E2915"/>
    <w:rsid w:val="003E3AB5"/>
    <w:rsid w:val="003E44FD"/>
    <w:rsid w:val="003E46EB"/>
    <w:rsid w:val="003F008F"/>
    <w:rsid w:val="003F149B"/>
    <w:rsid w:val="003F161D"/>
    <w:rsid w:val="003F2D72"/>
    <w:rsid w:val="003F3102"/>
    <w:rsid w:val="003F433F"/>
    <w:rsid w:val="003F459F"/>
    <w:rsid w:val="003F45A0"/>
    <w:rsid w:val="003F48FA"/>
    <w:rsid w:val="003F5DFC"/>
    <w:rsid w:val="003F77A9"/>
    <w:rsid w:val="0040011E"/>
    <w:rsid w:val="00401731"/>
    <w:rsid w:val="00401790"/>
    <w:rsid w:val="004025F7"/>
    <w:rsid w:val="004027DE"/>
    <w:rsid w:val="00402B51"/>
    <w:rsid w:val="00402D83"/>
    <w:rsid w:val="004035EF"/>
    <w:rsid w:val="00403730"/>
    <w:rsid w:val="004037F7"/>
    <w:rsid w:val="00403925"/>
    <w:rsid w:val="00404610"/>
    <w:rsid w:val="00404CA9"/>
    <w:rsid w:val="0040624C"/>
    <w:rsid w:val="0040656B"/>
    <w:rsid w:val="0040736C"/>
    <w:rsid w:val="00407A1C"/>
    <w:rsid w:val="004101A5"/>
    <w:rsid w:val="00410619"/>
    <w:rsid w:val="00410E77"/>
    <w:rsid w:val="00411918"/>
    <w:rsid w:val="00411DB5"/>
    <w:rsid w:val="0041245B"/>
    <w:rsid w:val="004124A2"/>
    <w:rsid w:val="00412538"/>
    <w:rsid w:val="00413641"/>
    <w:rsid w:val="00413907"/>
    <w:rsid w:val="00413EED"/>
    <w:rsid w:val="004151CA"/>
    <w:rsid w:val="00416177"/>
    <w:rsid w:val="00416BDD"/>
    <w:rsid w:val="004204BC"/>
    <w:rsid w:val="00420676"/>
    <w:rsid w:val="00420F58"/>
    <w:rsid w:val="004215D3"/>
    <w:rsid w:val="00421DA0"/>
    <w:rsid w:val="004225FA"/>
    <w:rsid w:val="004241D5"/>
    <w:rsid w:val="00424ABB"/>
    <w:rsid w:val="00424CD7"/>
    <w:rsid w:val="00425030"/>
    <w:rsid w:val="004253B3"/>
    <w:rsid w:val="00425C4C"/>
    <w:rsid w:val="0042638C"/>
    <w:rsid w:val="00426E78"/>
    <w:rsid w:val="00427172"/>
    <w:rsid w:val="00427C50"/>
    <w:rsid w:val="00427E66"/>
    <w:rsid w:val="0043301E"/>
    <w:rsid w:val="00433C5D"/>
    <w:rsid w:val="00434542"/>
    <w:rsid w:val="00434D84"/>
    <w:rsid w:val="00434ED6"/>
    <w:rsid w:val="00435467"/>
    <w:rsid w:val="00435B88"/>
    <w:rsid w:val="00436768"/>
    <w:rsid w:val="0043720E"/>
    <w:rsid w:val="004377A3"/>
    <w:rsid w:val="00440508"/>
    <w:rsid w:val="004418A1"/>
    <w:rsid w:val="004420F2"/>
    <w:rsid w:val="004422D1"/>
    <w:rsid w:val="004433AF"/>
    <w:rsid w:val="00443E24"/>
    <w:rsid w:val="00444FAA"/>
    <w:rsid w:val="00445091"/>
    <w:rsid w:val="00445168"/>
    <w:rsid w:val="00445EBC"/>
    <w:rsid w:val="00446AB1"/>
    <w:rsid w:val="004474C3"/>
    <w:rsid w:val="0044754E"/>
    <w:rsid w:val="004476B4"/>
    <w:rsid w:val="00447718"/>
    <w:rsid w:val="00447B38"/>
    <w:rsid w:val="00451314"/>
    <w:rsid w:val="00451774"/>
    <w:rsid w:val="00451CF8"/>
    <w:rsid w:val="00452B4F"/>
    <w:rsid w:val="00452BA1"/>
    <w:rsid w:val="00453125"/>
    <w:rsid w:val="004536AE"/>
    <w:rsid w:val="0045416C"/>
    <w:rsid w:val="00454369"/>
    <w:rsid w:val="0045484B"/>
    <w:rsid w:val="00454E76"/>
    <w:rsid w:val="004552BD"/>
    <w:rsid w:val="00455470"/>
    <w:rsid w:val="00455725"/>
    <w:rsid w:val="0045599D"/>
    <w:rsid w:val="00455C8A"/>
    <w:rsid w:val="00456154"/>
    <w:rsid w:val="00456315"/>
    <w:rsid w:val="00457483"/>
    <w:rsid w:val="00457BBB"/>
    <w:rsid w:val="00460E96"/>
    <w:rsid w:val="00460E9B"/>
    <w:rsid w:val="00461287"/>
    <w:rsid w:val="00463B13"/>
    <w:rsid w:val="00464685"/>
    <w:rsid w:val="00464D2E"/>
    <w:rsid w:val="00465729"/>
    <w:rsid w:val="00467010"/>
    <w:rsid w:val="00467A72"/>
    <w:rsid w:val="00467CE9"/>
    <w:rsid w:val="00470BFC"/>
    <w:rsid w:val="00471BC7"/>
    <w:rsid w:val="00472B8D"/>
    <w:rsid w:val="00473574"/>
    <w:rsid w:val="00473C00"/>
    <w:rsid w:val="004744E1"/>
    <w:rsid w:val="00474F96"/>
    <w:rsid w:val="00475FEE"/>
    <w:rsid w:val="004760FE"/>
    <w:rsid w:val="004763D3"/>
    <w:rsid w:val="0047673E"/>
    <w:rsid w:val="0047735C"/>
    <w:rsid w:val="00477867"/>
    <w:rsid w:val="00477D3B"/>
    <w:rsid w:val="0048034C"/>
    <w:rsid w:val="00480689"/>
    <w:rsid w:val="00482399"/>
    <w:rsid w:val="004823BB"/>
    <w:rsid w:val="00482FB3"/>
    <w:rsid w:val="004830B4"/>
    <w:rsid w:val="004830D8"/>
    <w:rsid w:val="004832D3"/>
    <w:rsid w:val="00483AC5"/>
    <w:rsid w:val="0048472A"/>
    <w:rsid w:val="00484AED"/>
    <w:rsid w:val="00484CF3"/>
    <w:rsid w:val="0048538A"/>
    <w:rsid w:val="004853A1"/>
    <w:rsid w:val="00485B06"/>
    <w:rsid w:val="00485FE8"/>
    <w:rsid w:val="00486A21"/>
    <w:rsid w:val="0048705D"/>
    <w:rsid w:val="00487800"/>
    <w:rsid w:val="00487DA0"/>
    <w:rsid w:val="00487F08"/>
    <w:rsid w:val="0049070B"/>
    <w:rsid w:val="00490ADF"/>
    <w:rsid w:val="00491549"/>
    <w:rsid w:val="004921E9"/>
    <w:rsid w:val="00493538"/>
    <w:rsid w:val="004936DA"/>
    <w:rsid w:val="00493AD1"/>
    <w:rsid w:val="00493B7B"/>
    <w:rsid w:val="00495777"/>
    <w:rsid w:val="0049578D"/>
    <w:rsid w:val="00495DB9"/>
    <w:rsid w:val="0049600B"/>
    <w:rsid w:val="00496068"/>
    <w:rsid w:val="004964B9"/>
    <w:rsid w:val="00497366"/>
    <w:rsid w:val="004A02F3"/>
    <w:rsid w:val="004A1099"/>
    <w:rsid w:val="004A123F"/>
    <w:rsid w:val="004A17AC"/>
    <w:rsid w:val="004A1A44"/>
    <w:rsid w:val="004A1F7F"/>
    <w:rsid w:val="004A2B7F"/>
    <w:rsid w:val="004A3915"/>
    <w:rsid w:val="004A4DA5"/>
    <w:rsid w:val="004A573A"/>
    <w:rsid w:val="004A5B1B"/>
    <w:rsid w:val="004A5D23"/>
    <w:rsid w:val="004A63C3"/>
    <w:rsid w:val="004A64CF"/>
    <w:rsid w:val="004A7212"/>
    <w:rsid w:val="004A7A93"/>
    <w:rsid w:val="004A7F40"/>
    <w:rsid w:val="004B01D0"/>
    <w:rsid w:val="004B2059"/>
    <w:rsid w:val="004B2857"/>
    <w:rsid w:val="004B28C2"/>
    <w:rsid w:val="004B2E35"/>
    <w:rsid w:val="004B32DE"/>
    <w:rsid w:val="004B3BB1"/>
    <w:rsid w:val="004B49A3"/>
    <w:rsid w:val="004B4A2B"/>
    <w:rsid w:val="004B5014"/>
    <w:rsid w:val="004B5EA8"/>
    <w:rsid w:val="004B66A9"/>
    <w:rsid w:val="004B6CC1"/>
    <w:rsid w:val="004C0A27"/>
    <w:rsid w:val="004C12CE"/>
    <w:rsid w:val="004C17D4"/>
    <w:rsid w:val="004C1A8E"/>
    <w:rsid w:val="004C20D9"/>
    <w:rsid w:val="004C24BF"/>
    <w:rsid w:val="004C3D60"/>
    <w:rsid w:val="004C401C"/>
    <w:rsid w:val="004C62FF"/>
    <w:rsid w:val="004C6E4E"/>
    <w:rsid w:val="004C763F"/>
    <w:rsid w:val="004C764E"/>
    <w:rsid w:val="004D002A"/>
    <w:rsid w:val="004D02D9"/>
    <w:rsid w:val="004D0337"/>
    <w:rsid w:val="004D0D6C"/>
    <w:rsid w:val="004D3966"/>
    <w:rsid w:val="004D4C13"/>
    <w:rsid w:val="004D4EF0"/>
    <w:rsid w:val="004D5C64"/>
    <w:rsid w:val="004D5F28"/>
    <w:rsid w:val="004D5FA4"/>
    <w:rsid w:val="004D6F0D"/>
    <w:rsid w:val="004D7EEB"/>
    <w:rsid w:val="004E0437"/>
    <w:rsid w:val="004E0749"/>
    <w:rsid w:val="004E0755"/>
    <w:rsid w:val="004E0EC8"/>
    <w:rsid w:val="004E10FB"/>
    <w:rsid w:val="004E11DA"/>
    <w:rsid w:val="004E2102"/>
    <w:rsid w:val="004E2358"/>
    <w:rsid w:val="004E2730"/>
    <w:rsid w:val="004E5B3E"/>
    <w:rsid w:val="004E5E2E"/>
    <w:rsid w:val="004E6FEA"/>
    <w:rsid w:val="004E7417"/>
    <w:rsid w:val="004E7B1B"/>
    <w:rsid w:val="004E7F87"/>
    <w:rsid w:val="004F0336"/>
    <w:rsid w:val="004F17E7"/>
    <w:rsid w:val="004F2B1A"/>
    <w:rsid w:val="004F3AC7"/>
    <w:rsid w:val="004F3C37"/>
    <w:rsid w:val="004F3E2C"/>
    <w:rsid w:val="004F4295"/>
    <w:rsid w:val="004F440A"/>
    <w:rsid w:val="004F4EB5"/>
    <w:rsid w:val="004F52CA"/>
    <w:rsid w:val="004F56B1"/>
    <w:rsid w:val="004F6641"/>
    <w:rsid w:val="004F6F99"/>
    <w:rsid w:val="004F6FCA"/>
    <w:rsid w:val="004F71C5"/>
    <w:rsid w:val="00500042"/>
    <w:rsid w:val="0050068F"/>
    <w:rsid w:val="00500A9F"/>
    <w:rsid w:val="00501119"/>
    <w:rsid w:val="0050171C"/>
    <w:rsid w:val="00502043"/>
    <w:rsid w:val="00502A62"/>
    <w:rsid w:val="00503025"/>
    <w:rsid w:val="00503628"/>
    <w:rsid w:val="005037A1"/>
    <w:rsid w:val="00503875"/>
    <w:rsid w:val="005054AF"/>
    <w:rsid w:val="00505908"/>
    <w:rsid w:val="00505C7D"/>
    <w:rsid w:val="00505DC1"/>
    <w:rsid w:val="00506188"/>
    <w:rsid w:val="0050794B"/>
    <w:rsid w:val="00507B0B"/>
    <w:rsid w:val="00507E1A"/>
    <w:rsid w:val="00507FC8"/>
    <w:rsid w:val="0051040F"/>
    <w:rsid w:val="0051139F"/>
    <w:rsid w:val="00512305"/>
    <w:rsid w:val="005123AD"/>
    <w:rsid w:val="00512619"/>
    <w:rsid w:val="005127DD"/>
    <w:rsid w:val="00512AEF"/>
    <w:rsid w:val="0051302D"/>
    <w:rsid w:val="00513847"/>
    <w:rsid w:val="00513C39"/>
    <w:rsid w:val="00514821"/>
    <w:rsid w:val="0051484F"/>
    <w:rsid w:val="005149BE"/>
    <w:rsid w:val="005161F8"/>
    <w:rsid w:val="005168EB"/>
    <w:rsid w:val="00516D4B"/>
    <w:rsid w:val="005174B6"/>
    <w:rsid w:val="005178D9"/>
    <w:rsid w:val="00517951"/>
    <w:rsid w:val="00517ACF"/>
    <w:rsid w:val="00520D1F"/>
    <w:rsid w:val="005213B0"/>
    <w:rsid w:val="0052145E"/>
    <w:rsid w:val="0052168A"/>
    <w:rsid w:val="00521F09"/>
    <w:rsid w:val="00522D17"/>
    <w:rsid w:val="005240EB"/>
    <w:rsid w:val="005251BB"/>
    <w:rsid w:val="00525BF2"/>
    <w:rsid w:val="00525CD9"/>
    <w:rsid w:val="005260E0"/>
    <w:rsid w:val="005279B4"/>
    <w:rsid w:val="00530215"/>
    <w:rsid w:val="005308D3"/>
    <w:rsid w:val="00530DEC"/>
    <w:rsid w:val="00531B19"/>
    <w:rsid w:val="0053254E"/>
    <w:rsid w:val="00532B16"/>
    <w:rsid w:val="00532D72"/>
    <w:rsid w:val="00533C9D"/>
    <w:rsid w:val="005356F9"/>
    <w:rsid w:val="005365F0"/>
    <w:rsid w:val="00537486"/>
    <w:rsid w:val="00537BFD"/>
    <w:rsid w:val="00537D16"/>
    <w:rsid w:val="00537EE5"/>
    <w:rsid w:val="00540716"/>
    <w:rsid w:val="00540C78"/>
    <w:rsid w:val="00541205"/>
    <w:rsid w:val="00541F54"/>
    <w:rsid w:val="005432EF"/>
    <w:rsid w:val="0054344B"/>
    <w:rsid w:val="005434D2"/>
    <w:rsid w:val="005439CA"/>
    <w:rsid w:val="00543E36"/>
    <w:rsid w:val="00545C68"/>
    <w:rsid w:val="00545C7B"/>
    <w:rsid w:val="00546F33"/>
    <w:rsid w:val="005476A3"/>
    <w:rsid w:val="00551547"/>
    <w:rsid w:val="0055157F"/>
    <w:rsid w:val="005527EC"/>
    <w:rsid w:val="005545EE"/>
    <w:rsid w:val="0055566C"/>
    <w:rsid w:val="00557076"/>
    <w:rsid w:val="0055707E"/>
    <w:rsid w:val="005576C7"/>
    <w:rsid w:val="005605AA"/>
    <w:rsid w:val="00560E5D"/>
    <w:rsid w:val="00561854"/>
    <w:rsid w:val="00561FAE"/>
    <w:rsid w:val="00562530"/>
    <w:rsid w:val="00562901"/>
    <w:rsid w:val="00563090"/>
    <w:rsid w:val="0056313A"/>
    <w:rsid w:val="00564307"/>
    <w:rsid w:val="00564B1C"/>
    <w:rsid w:val="00565AB7"/>
    <w:rsid w:val="00565AC6"/>
    <w:rsid w:val="00565D8A"/>
    <w:rsid w:val="00565EA0"/>
    <w:rsid w:val="00566644"/>
    <w:rsid w:val="005675EF"/>
    <w:rsid w:val="00570066"/>
    <w:rsid w:val="00571078"/>
    <w:rsid w:val="00572831"/>
    <w:rsid w:val="00572B43"/>
    <w:rsid w:val="00572C29"/>
    <w:rsid w:val="00572E0C"/>
    <w:rsid w:val="00573833"/>
    <w:rsid w:val="00573BF1"/>
    <w:rsid w:val="00573C47"/>
    <w:rsid w:val="00573F06"/>
    <w:rsid w:val="0057482C"/>
    <w:rsid w:val="00575033"/>
    <w:rsid w:val="00575958"/>
    <w:rsid w:val="00577D15"/>
    <w:rsid w:val="0058325C"/>
    <w:rsid w:val="00583C1A"/>
    <w:rsid w:val="00583D68"/>
    <w:rsid w:val="0058405E"/>
    <w:rsid w:val="005843CD"/>
    <w:rsid w:val="0058533A"/>
    <w:rsid w:val="005860C4"/>
    <w:rsid w:val="00586884"/>
    <w:rsid w:val="00587549"/>
    <w:rsid w:val="005875A7"/>
    <w:rsid w:val="00587F3B"/>
    <w:rsid w:val="0059037A"/>
    <w:rsid w:val="00591363"/>
    <w:rsid w:val="00591CC3"/>
    <w:rsid w:val="005923B8"/>
    <w:rsid w:val="00592B20"/>
    <w:rsid w:val="00592CBD"/>
    <w:rsid w:val="00594367"/>
    <w:rsid w:val="00594CE8"/>
    <w:rsid w:val="00595F44"/>
    <w:rsid w:val="005963C7"/>
    <w:rsid w:val="00597970"/>
    <w:rsid w:val="00597A2C"/>
    <w:rsid w:val="00597E0F"/>
    <w:rsid w:val="005A09D5"/>
    <w:rsid w:val="005A103B"/>
    <w:rsid w:val="005A161F"/>
    <w:rsid w:val="005A172A"/>
    <w:rsid w:val="005A183A"/>
    <w:rsid w:val="005A218D"/>
    <w:rsid w:val="005A2A13"/>
    <w:rsid w:val="005A2A9F"/>
    <w:rsid w:val="005A43BF"/>
    <w:rsid w:val="005A4ABF"/>
    <w:rsid w:val="005A5479"/>
    <w:rsid w:val="005A582B"/>
    <w:rsid w:val="005A7183"/>
    <w:rsid w:val="005A71AB"/>
    <w:rsid w:val="005A7B47"/>
    <w:rsid w:val="005B01A0"/>
    <w:rsid w:val="005B1732"/>
    <w:rsid w:val="005B2803"/>
    <w:rsid w:val="005B29C6"/>
    <w:rsid w:val="005B36ED"/>
    <w:rsid w:val="005B3B2F"/>
    <w:rsid w:val="005B4510"/>
    <w:rsid w:val="005B4F7B"/>
    <w:rsid w:val="005B4FE9"/>
    <w:rsid w:val="005B5CEF"/>
    <w:rsid w:val="005B62AC"/>
    <w:rsid w:val="005C0A0F"/>
    <w:rsid w:val="005C130F"/>
    <w:rsid w:val="005C24DD"/>
    <w:rsid w:val="005C2B55"/>
    <w:rsid w:val="005C4D15"/>
    <w:rsid w:val="005C4DF4"/>
    <w:rsid w:val="005C620C"/>
    <w:rsid w:val="005C6297"/>
    <w:rsid w:val="005C65F6"/>
    <w:rsid w:val="005C68A0"/>
    <w:rsid w:val="005C747C"/>
    <w:rsid w:val="005D1041"/>
    <w:rsid w:val="005D1769"/>
    <w:rsid w:val="005D278A"/>
    <w:rsid w:val="005D3AA8"/>
    <w:rsid w:val="005D427A"/>
    <w:rsid w:val="005D4869"/>
    <w:rsid w:val="005D4ABD"/>
    <w:rsid w:val="005D4DBB"/>
    <w:rsid w:val="005D6294"/>
    <w:rsid w:val="005D703B"/>
    <w:rsid w:val="005D7218"/>
    <w:rsid w:val="005D7620"/>
    <w:rsid w:val="005D7F27"/>
    <w:rsid w:val="005D7F45"/>
    <w:rsid w:val="005E073C"/>
    <w:rsid w:val="005E1F11"/>
    <w:rsid w:val="005E277A"/>
    <w:rsid w:val="005E451B"/>
    <w:rsid w:val="005E4D24"/>
    <w:rsid w:val="005E58A0"/>
    <w:rsid w:val="005E6B14"/>
    <w:rsid w:val="005E7ED4"/>
    <w:rsid w:val="005E7EDC"/>
    <w:rsid w:val="005F146A"/>
    <w:rsid w:val="005F305E"/>
    <w:rsid w:val="005F36A6"/>
    <w:rsid w:val="005F439D"/>
    <w:rsid w:val="005F535C"/>
    <w:rsid w:val="005F559D"/>
    <w:rsid w:val="005F6715"/>
    <w:rsid w:val="005F6D37"/>
    <w:rsid w:val="00601021"/>
    <w:rsid w:val="00601D0B"/>
    <w:rsid w:val="00601E51"/>
    <w:rsid w:val="006025B4"/>
    <w:rsid w:val="00602E03"/>
    <w:rsid w:val="00603AC6"/>
    <w:rsid w:val="00603E2C"/>
    <w:rsid w:val="0060465E"/>
    <w:rsid w:val="00604F22"/>
    <w:rsid w:val="00605351"/>
    <w:rsid w:val="0060774C"/>
    <w:rsid w:val="006078C8"/>
    <w:rsid w:val="00607D5C"/>
    <w:rsid w:val="00607DDF"/>
    <w:rsid w:val="006120CC"/>
    <w:rsid w:val="00612B23"/>
    <w:rsid w:val="00613E1C"/>
    <w:rsid w:val="0061422A"/>
    <w:rsid w:val="0061492E"/>
    <w:rsid w:val="00615594"/>
    <w:rsid w:val="00615DE5"/>
    <w:rsid w:val="006160D6"/>
    <w:rsid w:val="0061656B"/>
    <w:rsid w:val="0061697E"/>
    <w:rsid w:val="006204DA"/>
    <w:rsid w:val="00620C3C"/>
    <w:rsid w:val="006225D7"/>
    <w:rsid w:val="00622920"/>
    <w:rsid w:val="00622C77"/>
    <w:rsid w:val="00622E98"/>
    <w:rsid w:val="00623D1C"/>
    <w:rsid w:val="006246D9"/>
    <w:rsid w:val="00625188"/>
    <w:rsid w:val="006255E6"/>
    <w:rsid w:val="0062591D"/>
    <w:rsid w:val="00626A9F"/>
    <w:rsid w:val="00627264"/>
    <w:rsid w:val="0062773C"/>
    <w:rsid w:val="00631250"/>
    <w:rsid w:val="00631A2B"/>
    <w:rsid w:val="00631BAA"/>
    <w:rsid w:val="006327FB"/>
    <w:rsid w:val="006354AA"/>
    <w:rsid w:val="006358C9"/>
    <w:rsid w:val="00635EAE"/>
    <w:rsid w:val="00636DCE"/>
    <w:rsid w:val="00637E96"/>
    <w:rsid w:val="00640280"/>
    <w:rsid w:val="006403AB"/>
    <w:rsid w:val="006422C4"/>
    <w:rsid w:val="0064262B"/>
    <w:rsid w:val="00642D4E"/>
    <w:rsid w:val="00646AE0"/>
    <w:rsid w:val="00647853"/>
    <w:rsid w:val="00647B30"/>
    <w:rsid w:val="006501B2"/>
    <w:rsid w:val="0065071B"/>
    <w:rsid w:val="0065477F"/>
    <w:rsid w:val="006552EE"/>
    <w:rsid w:val="00660405"/>
    <w:rsid w:val="00660E10"/>
    <w:rsid w:val="006612DF"/>
    <w:rsid w:val="00661CCD"/>
    <w:rsid w:val="006625AB"/>
    <w:rsid w:val="006629DC"/>
    <w:rsid w:val="00664012"/>
    <w:rsid w:val="00664549"/>
    <w:rsid w:val="00664BBE"/>
    <w:rsid w:val="00664CEB"/>
    <w:rsid w:val="006662E5"/>
    <w:rsid w:val="00667980"/>
    <w:rsid w:val="006679FF"/>
    <w:rsid w:val="0067067F"/>
    <w:rsid w:val="00670F5B"/>
    <w:rsid w:val="00671005"/>
    <w:rsid w:val="006728DD"/>
    <w:rsid w:val="0067338B"/>
    <w:rsid w:val="00673B55"/>
    <w:rsid w:val="0067517A"/>
    <w:rsid w:val="0067534E"/>
    <w:rsid w:val="00675A28"/>
    <w:rsid w:val="006760EA"/>
    <w:rsid w:val="006765B1"/>
    <w:rsid w:val="00677C6C"/>
    <w:rsid w:val="00680167"/>
    <w:rsid w:val="00680712"/>
    <w:rsid w:val="00680FFF"/>
    <w:rsid w:val="006818DC"/>
    <w:rsid w:val="006824FB"/>
    <w:rsid w:val="006831DC"/>
    <w:rsid w:val="006833D6"/>
    <w:rsid w:val="00683DC9"/>
    <w:rsid w:val="0068459C"/>
    <w:rsid w:val="006849A8"/>
    <w:rsid w:val="00686343"/>
    <w:rsid w:val="00686938"/>
    <w:rsid w:val="006879B8"/>
    <w:rsid w:val="00690503"/>
    <w:rsid w:val="00690552"/>
    <w:rsid w:val="006907CA"/>
    <w:rsid w:val="00691165"/>
    <w:rsid w:val="006927F0"/>
    <w:rsid w:val="00692E54"/>
    <w:rsid w:val="00693C1A"/>
    <w:rsid w:val="00694F1A"/>
    <w:rsid w:val="0069679F"/>
    <w:rsid w:val="006970EE"/>
    <w:rsid w:val="00697696"/>
    <w:rsid w:val="00697CFA"/>
    <w:rsid w:val="006A02BA"/>
    <w:rsid w:val="006A1212"/>
    <w:rsid w:val="006A153F"/>
    <w:rsid w:val="006A2B54"/>
    <w:rsid w:val="006A3700"/>
    <w:rsid w:val="006A4057"/>
    <w:rsid w:val="006A522F"/>
    <w:rsid w:val="006A5BDB"/>
    <w:rsid w:val="006A6287"/>
    <w:rsid w:val="006A62EA"/>
    <w:rsid w:val="006A69FA"/>
    <w:rsid w:val="006A71A3"/>
    <w:rsid w:val="006B02C8"/>
    <w:rsid w:val="006B02D1"/>
    <w:rsid w:val="006B101F"/>
    <w:rsid w:val="006B159E"/>
    <w:rsid w:val="006B1E46"/>
    <w:rsid w:val="006B22BB"/>
    <w:rsid w:val="006B386F"/>
    <w:rsid w:val="006B497F"/>
    <w:rsid w:val="006B59E4"/>
    <w:rsid w:val="006B7443"/>
    <w:rsid w:val="006B77E5"/>
    <w:rsid w:val="006B786E"/>
    <w:rsid w:val="006B7CE0"/>
    <w:rsid w:val="006C1598"/>
    <w:rsid w:val="006C27A8"/>
    <w:rsid w:val="006C305F"/>
    <w:rsid w:val="006C331D"/>
    <w:rsid w:val="006C3329"/>
    <w:rsid w:val="006C433C"/>
    <w:rsid w:val="006C51F0"/>
    <w:rsid w:val="006C5BC0"/>
    <w:rsid w:val="006C5C45"/>
    <w:rsid w:val="006C6007"/>
    <w:rsid w:val="006C620E"/>
    <w:rsid w:val="006C6345"/>
    <w:rsid w:val="006C6D2F"/>
    <w:rsid w:val="006C6F72"/>
    <w:rsid w:val="006C7921"/>
    <w:rsid w:val="006D32D0"/>
    <w:rsid w:val="006D34EB"/>
    <w:rsid w:val="006D70C3"/>
    <w:rsid w:val="006D7387"/>
    <w:rsid w:val="006E03D6"/>
    <w:rsid w:val="006E0405"/>
    <w:rsid w:val="006E0C59"/>
    <w:rsid w:val="006E1C78"/>
    <w:rsid w:val="006E36D0"/>
    <w:rsid w:val="006E390D"/>
    <w:rsid w:val="006E46C7"/>
    <w:rsid w:val="006E6D17"/>
    <w:rsid w:val="006E6D84"/>
    <w:rsid w:val="006E7A50"/>
    <w:rsid w:val="006F0021"/>
    <w:rsid w:val="006F033D"/>
    <w:rsid w:val="006F268D"/>
    <w:rsid w:val="006F33F8"/>
    <w:rsid w:val="006F44BD"/>
    <w:rsid w:val="006F4846"/>
    <w:rsid w:val="006F5176"/>
    <w:rsid w:val="006F5CA6"/>
    <w:rsid w:val="006F6685"/>
    <w:rsid w:val="006F6903"/>
    <w:rsid w:val="006F6CBC"/>
    <w:rsid w:val="006F7E1C"/>
    <w:rsid w:val="00701276"/>
    <w:rsid w:val="00701672"/>
    <w:rsid w:val="007018CE"/>
    <w:rsid w:val="00701C40"/>
    <w:rsid w:val="007027E9"/>
    <w:rsid w:val="00702AD3"/>
    <w:rsid w:val="00702EEF"/>
    <w:rsid w:val="007030D6"/>
    <w:rsid w:val="0070395B"/>
    <w:rsid w:val="007040D8"/>
    <w:rsid w:val="00704821"/>
    <w:rsid w:val="0070503E"/>
    <w:rsid w:val="0070534C"/>
    <w:rsid w:val="00705AA6"/>
    <w:rsid w:val="00706A09"/>
    <w:rsid w:val="007071FA"/>
    <w:rsid w:val="007079DA"/>
    <w:rsid w:val="00707E8D"/>
    <w:rsid w:val="00710800"/>
    <w:rsid w:val="0071109B"/>
    <w:rsid w:val="00711552"/>
    <w:rsid w:val="00711E9E"/>
    <w:rsid w:val="00712DF0"/>
    <w:rsid w:val="00713E77"/>
    <w:rsid w:val="00714564"/>
    <w:rsid w:val="0071539A"/>
    <w:rsid w:val="00716E2A"/>
    <w:rsid w:val="00717906"/>
    <w:rsid w:val="00720979"/>
    <w:rsid w:val="00720999"/>
    <w:rsid w:val="007214B7"/>
    <w:rsid w:val="007223E1"/>
    <w:rsid w:val="0072334B"/>
    <w:rsid w:val="00723859"/>
    <w:rsid w:val="007240D1"/>
    <w:rsid w:val="00724A88"/>
    <w:rsid w:val="007252F8"/>
    <w:rsid w:val="00727B28"/>
    <w:rsid w:val="007304D1"/>
    <w:rsid w:val="00730570"/>
    <w:rsid w:val="007320F4"/>
    <w:rsid w:val="007325DE"/>
    <w:rsid w:val="0073276E"/>
    <w:rsid w:val="007329E1"/>
    <w:rsid w:val="0073363C"/>
    <w:rsid w:val="00733A97"/>
    <w:rsid w:val="007349E4"/>
    <w:rsid w:val="00734AD9"/>
    <w:rsid w:val="00735A74"/>
    <w:rsid w:val="00735E03"/>
    <w:rsid w:val="00736AB7"/>
    <w:rsid w:val="00740217"/>
    <w:rsid w:val="007415B4"/>
    <w:rsid w:val="00742A28"/>
    <w:rsid w:val="00743DA9"/>
    <w:rsid w:val="00744610"/>
    <w:rsid w:val="00746958"/>
    <w:rsid w:val="00747A5F"/>
    <w:rsid w:val="00751A0E"/>
    <w:rsid w:val="007520C1"/>
    <w:rsid w:val="00752A12"/>
    <w:rsid w:val="00752FF3"/>
    <w:rsid w:val="007530B0"/>
    <w:rsid w:val="00753540"/>
    <w:rsid w:val="00754531"/>
    <w:rsid w:val="00754AE0"/>
    <w:rsid w:val="007559CE"/>
    <w:rsid w:val="00756280"/>
    <w:rsid w:val="00756AE2"/>
    <w:rsid w:val="00756E66"/>
    <w:rsid w:val="007575F9"/>
    <w:rsid w:val="007607FA"/>
    <w:rsid w:val="007608DF"/>
    <w:rsid w:val="00760B48"/>
    <w:rsid w:val="00762395"/>
    <w:rsid w:val="007630EC"/>
    <w:rsid w:val="007631C9"/>
    <w:rsid w:val="00763269"/>
    <w:rsid w:val="007643BF"/>
    <w:rsid w:val="007669E8"/>
    <w:rsid w:val="007669EC"/>
    <w:rsid w:val="00766CCE"/>
    <w:rsid w:val="00766E03"/>
    <w:rsid w:val="00767E1B"/>
    <w:rsid w:val="00770785"/>
    <w:rsid w:val="0077081E"/>
    <w:rsid w:val="007715E2"/>
    <w:rsid w:val="00772FAB"/>
    <w:rsid w:val="00773258"/>
    <w:rsid w:val="007736E6"/>
    <w:rsid w:val="00773895"/>
    <w:rsid w:val="00774961"/>
    <w:rsid w:val="0077521F"/>
    <w:rsid w:val="007752C4"/>
    <w:rsid w:val="0077628D"/>
    <w:rsid w:val="007806A3"/>
    <w:rsid w:val="007807F6"/>
    <w:rsid w:val="00780B88"/>
    <w:rsid w:val="00780C3E"/>
    <w:rsid w:val="00780F65"/>
    <w:rsid w:val="00780F8B"/>
    <w:rsid w:val="0078182E"/>
    <w:rsid w:val="0078221A"/>
    <w:rsid w:val="007824B3"/>
    <w:rsid w:val="00783101"/>
    <w:rsid w:val="007836C4"/>
    <w:rsid w:val="00785C7E"/>
    <w:rsid w:val="0078689C"/>
    <w:rsid w:val="00786CE1"/>
    <w:rsid w:val="007871CB"/>
    <w:rsid w:val="0078786F"/>
    <w:rsid w:val="00790C4C"/>
    <w:rsid w:val="00790D50"/>
    <w:rsid w:val="00792B79"/>
    <w:rsid w:val="007932F0"/>
    <w:rsid w:val="0079515B"/>
    <w:rsid w:val="00795261"/>
    <w:rsid w:val="0079695C"/>
    <w:rsid w:val="0079710D"/>
    <w:rsid w:val="007A06AB"/>
    <w:rsid w:val="007A0936"/>
    <w:rsid w:val="007A0C6B"/>
    <w:rsid w:val="007A2207"/>
    <w:rsid w:val="007A24AD"/>
    <w:rsid w:val="007A2D6E"/>
    <w:rsid w:val="007A3055"/>
    <w:rsid w:val="007A32A0"/>
    <w:rsid w:val="007A59BC"/>
    <w:rsid w:val="007A6007"/>
    <w:rsid w:val="007A67BE"/>
    <w:rsid w:val="007A693E"/>
    <w:rsid w:val="007B13E1"/>
    <w:rsid w:val="007B27B1"/>
    <w:rsid w:val="007B322B"/>
    <w:rsid w:val="007B3B7F"/>
    <w:rsid w:val="007B46DE"/>
    <w:rsid w:val="007B505D"/>
    <w:rsid w:val="007B533C"/>
    <w:rsid w:val="007B61E9"/>
    <w:rsid w:val="007B6A52"/>
    <w:rsid w:val="007B77B9"/>
    <w:rsid w:val="007B791E"/>
    <w:rsid w:val="007C000A"/>
    <w:rsid w:val="007C0044"/>
    <w:rsid w:val="007C2618"/>
    <w:rsid w:val="007C2ACB"/>
    <w:rsid w:val="007C3C23"/>
    <w:rsid w:val="007C3F55"/>
    <w:rsid w:val="007C46C9"/>
    <w:rsid w:val="007C4FAB"/>
    <w:rsid w:val="007C6250"/>
    <w:rsid w:val="007C6404"/>
    <w:rsid w:val="007C715E"/>
    <w:rsid w:val="007D002D"/>
    <w:rsid w:val="007D1D1D"/>
    <w:rsid w:val="007D1EB5"/>
    <w:rsid w:val="007D3BB5"/>
    <w:rsid w:val="007D5477"/>
    <w:rsid w:val="007D7E8F"/>
    <w:rsid w:val="007E02E3"/>
    <w:rsid w:val="007E0325"/>
    <w:rsid w:val="007E0772"/>
    <w:rsid w:val="007E08D6"/>
    <w:rsid w:val="007E0C07"/>
    <w:rsid w:val="007E11E6"/>
    <w:rsid w:val="007E14E5"/>
    <w:rsid w:val="007E1837"/>
    <w:rsid w:val="007E225F"/>
    <w:rsid w:val="007E2630"/>
    <w:rsid w:val="007E2ED9"/>
    <w:rsid w:val="007E3908"/>
    <w:rsid w:val="007E45D9"/>
    <w:rsid w:val="007E5DD6"/>
    <w:rsid w:val="007E68C3"/>
    <w:rsid w:val="007E6F13"/>
    <w:rsid w:val="007F0D9E"/>
    <w:rsid w:val="007F150B"/>
    <w:rsid w:val="007F1666"/>
    <w:rsid w:val="007F1D12"/>
    <w:rsid w:val="007F34AE"/>
    <w:rsid w:val="007F38E5"/>
    <w:rsid w:val="007F3ABF"/>
    <w:rsid w:val="007F3B4B"/>
    <w:rsid w:val="007F3E37"/>
    <w:rsid w:val="007F414E"/>
    <w:rsid w:val="007F430E"/>
    <w:rsid w:val="007F45D9"/>
    <w:rsid w:val="007F59CC"/>
    <w:rsid w:val="007F6DED"/>
    <w:rsid w:val="007F6EB0"/>
    <w:rsid w:val="007F7616"/>
    <w:rsid w:val="007F7B09"/>
    <w:rsid w:val="00800721"/>
    <w:rsid w:val="00800D94"/>
    <w:rsid w:val="0080174E"/>
    <w:rsid w:val="00803884"/>
    <w:rsid w:val="00803EAF"/>
    <w:rsid w:val="0080493E"/>
    <w:rsid w:val="00804B1D"/>
    <w:rsid w:val="00805211"/>
    <w:rsid w:val="008057CD"/>
    <w:rsid w:val="008060D3"/>
    <w:rsid w:val="00806AB9"/>
    <w:rsid w:val="00806F93"/>
    <w:rsid w:val="00807AB8"/>
    <w:rsid w:val="00811A11"/>
    <w:rsid w:val="00811DE4"/>
    <w:rsid w:val="00814B76"/>
    <w:rsid w:val="00815B51"/>
    <w:rsid w:val="00815CA2"/>
    <w:rsid w:val="00815D1C"/>
    <w:rsid w:val="008167EB"/>
    <w:rsid w:val="00816E0B"/>
    <w:rsid w:val="00817B66"/>
    <w:rsid w:val="00817EE4"/>
    <w:rsid w:val="00820BDF"/>
    <w:rsid w:val="0082158E"/>
    <w:rsid w:val="00821A73"/>
    <w:rsid w:val="0082240C"/>
    <w:rsid w:val="00822971"/>
    <w:rsid w:val="008248DA"/>
    <w:rsid w:val="00825143"/>
    <w:rsid w:val="0082565C"/>
    <w:rsid w:val="008257C7"/>
    <w:rsid w:val="00825888"/>
    <w:rsid w:val="00826C37"/>
    <w:rsid w:val="00827FEA"/>
    <w:rsid w:val="00831747"/>
    <w:rsid w:val="008317B7"/>
    <w:rsid w:val="00832522"/>
    <w:rsid w:val="008330D9"/>
    <w:rsid w:val="00833CEB"/>
    <w:rsid w:val="008346BF"/>
    <w:rsid w:val="00835CED"/>
    <w:rsid w:val="00836C6D"/>
    <w:rsid w:val="00836F34"/>
    <w:rsid w:val="008371C7"/>
    <w:rsid w:val="00841E5B"/>
    <w:rsid w:val="00842A28"/>
    <w:rsid w:val="00843526"/>
    <w:rsid w:val="00844F83"/>
    <w:rsid w:val="00845417"/>
    <w:rsid w:val="008457E8"/>
    <w:rsid w:val="00845D11"/>
    <w:rsid w:val="008460DA"/>
    <w:rsid w:val="008460F3"/>
    <w:rsid w:val="008461A3"/>
    <w:rsid w:val="00847D17"/>
    <w:rsid w:val="008508BB"/>
    <w:rsid w:val="008513E1"/>
    <w:rsid w:val="00851888"/>
    <w:rsid w:val="008518A2"/>
    <w:rsid w:val="008524A3"/>
    <w:rsid w:val="008526A9"/>
    <w:rsid w:val="008526F1"/>
    <w:rsid w:val="00852AF1"/>
    <w:rsid w:val="00853CD0"/>
    <w:rsid w:val="00854ED1"/>
    <w:rsid w:val="00854F38"/>
    <w:rsid w:val="00854FBC"/>
    <w:rsid w:val="008550EA"/>
    <w:rsid w:val="00855876"/>
    <w:rsid w:val="00855EE6"/>
    <w:rsid w:val="00855EF2"/>
    <w:rsid w:val="008576C2"/>
    <w:rsid w:val="00857C06"/>
    <w:rsid w:val="00857D28"/>
    <w:rsid w:val="00857E09"/>
    <w:rsid w:val="00857F1F"/>
    <w:rsid w:val="008606CC"/>
    <w:rsid w:val="00862082"/>
    <w:rsid w:val="0086231A"/>
    <w:rsid w:val="0086305A"/>
    <w:rsid w:val="00863AE8"/>
    <w:rsid w:val="00863DD3"/>
    <w:rsid w:val="00863FC3"/>
    <w:rsid w:val="008655E0"/>
    <w:rsid w:val="00865CB7"/>
    <w:rsid w:val="0086656F"/>
    <w:rsid w:val="0086658F"/>
    <w:rsid w:val="00866AF4"/>
    <w:rsid w:val="00866F00"/>
    <w:rsid w:val="00867304"/>
    <w:rsid w:val="00867445"/>
    <w:rsid w:val="008678A6"/>
    <w:rsid w:val="00870B31"/>
    <w:rsid w:val="00871300"/>
    <w:rsid w:val="0087147A"/>
    <w:rsid w:val="00872A82"/>
    <w:rsid w:val="00872D62"/>
    <w:rsid w:val="00872DD8"/>
    <w:rsid w:val="008734C6"/>
    <w:rsid w:val="00873857"/>
    <w:rsid w:val="00873F26"/>
    <w:rsid w:val="00875F18"/>
    <w:rsid w:val="008760C5"/>
    <w:rsid w:val="00877269"/>
    <w:rsid w:val="00877697"/>
    <w:rsid w:val="008776E7"/>
    <w:rsid w:val="00877CA2"/>
    <w:rsid w:val="00880537"/>
    <w:rsid w:val="00881654"/>
    <w:rsid w:val="00882133"/>
    <w:rsid w:val="008822D3"/>
    <w:rsid w:val="00883539"/>
    <w:rsid w:val="00884491"/>
    <w:rsid w:val="008850D0"/>
    <w:rsid w:val="008852B6"/>
    <w:rsid w:val="0088615C"/>
    <w:rsid w:val="00886189"/>
    <w:rsid w:val="0088665C"/>
    <w:rsid w:val="00890471"/>
    <w:rsid w:val="0089157F"/>
    <w:rsid w:val="008918DC"/>
    <w:rsid w:val="00892215"/>
    <w:rsid w:val="00892C9B"/>
    <w:rsid w:val="008933D7"/>
    <w:rsid w:val="00893437"/>
    <w:rsid w:val="00893665"/>
    <w:rsid w:val="0089379F"/>
    <w:rsid w:val="008943D6"/>
    <w:rsid w:val="00894599"/>
    <w:rsid w:val="0089519F"/>
    <w:rsid w:val="00895F3F"/>
    <w:rsid w:val="00896606"/>
    <w:rsid w:val="008972AB"/>
    <w:rsid w:val="00897BF6"/>
    <w:rsid w:val="008A02C8"/>
    <w:rsid w:val="008A0B5A"/>
    <w:rsid w:val="008A0E97"/>
    <w:rsid w:val="008A148D"/>
    <w:rsid w:val="008A151F"/>
    <w:rsid w:val="008A1665"/>
    <w:rsid w:val="008A177F"/>
    <w:rsid w:val="008A19E2"/>
    <w:rsid w:val="008A1A83"/>
    <w:rsid w:val="008A2586"/>
    <w:rsid w:val="008A2C74"/>
    <w:rsid w:val="008A3BED"/>
    <w:rsid w:val="008A3F2D"/>
    <w:rsid w:val="008A447D"/>
    <w:rsid w:val="008A47D4"/>
    <w:rsid w:val="008A4912"/>
    <w:rsid w:val="008A4BF4"/>
    <w:rsid w:val="008A4D55"/>
    <w:rsid w:val="008A51DF"/>
    <w:rsid w:val="008A552D"/>
    <w:rsid w:val="008A5937"/>
    <w:rsid w:val="008A5AAC"/>
    <w:rsid w:val="008A6476"/>
    <w:rsid w:val="008A6B56"/>
    <w:rsid w:val="008A734E"/>
    <w:rsid w:val="008A7698"/>
    <w:rsid w:val="008B189E"/>
    <w:rsid w:val="008B22A5"/>
    <w:rsid w:val="008B4903"/>
    <w:rsid w:val="008B7778"/>
    <w:rsid w:val="008B78A3"/>
    <w:rsid w:val="008B7BDC"/>
    <w:rsid w:val="008C051D"/>
    <w:rsid w:val="008C10F6"/>
    <w:rsid w:val="008C1DAC"/>
    <w:rsid w:val="008C23F7"/>
    <w:rsid w:val="008C34C2"/>
    <w:rsid w:val="008C3B74"/>
    <w:rsid w:val="008C3BAE"/>
    <w:rsid w:val="008C3F14"/>
    <w:rsid w:val="008C4ECD"/>
    <w:rsid w:val="008C5B0D"/>
    <w:rsid w:val="008C6060"/>
    <w:rsid w:val="008C6BC6"/>
    <w:rsid w:val="008D017D"/>
    <w:rsid w:val="008D02B4"/>
    <w:rsid w:val="008D0703"/>
    <w:rsid w:val="008D0B25"/>
    <w:rsid w:val="008D2A2E"/>
    <w:rsid w:val="008D3237"/>
    <w:rsid w:val="008D336E"/>
    <w:rsid w:val="008D4E5F"/>
    <w:rsid w:val="008D6CD6"/>
    <w:rsid w:val="008D6E91"/>
    <w:rsid w:val="008D7DE8"/>
    <w:rsid w:val="008D7FA0"/>
    <w:rsid w:val="008E0527"/>
    <w:rsid w:val="008E17F2"/>
    <w:rsid w:val="008E3949"/>
    <w:rsid w:val="008E4B12"/>
    <w:rsid w:val="008E4B55"/>
    <w:rsid w:val="008E5397"/>
    <w:rsid w:val="008E5FAD"/>
    <w:rsid w:val="008E624E"/>
    <w:rsid w:val="008E68CC"/>
    <w:rsid w:val="008E6B47"/>
    <w:rsid w:val="008E6DB5"/>
    <w:rsid w:val="008F0462"/>
    <w:rsid w:val="008F229F"/>
    <w:rsid w:val="008F2F23"/>
    <w:rsid w:val="008F2FD8"/>
    <w:rsid w:val="008F3FE8"/>
    <w:rsid w:val="008F4259"/>
    <w:rsid w:val="008F49AE"/>
    <w:rsid w:val="008F4C07"/>
    <w:rsid w:val="008F5336"/>
    <w:rsid w:val="008F58B8"/>
    <w:rsid w:val="008F5BC3"/>
    <w:rsid w:val="008F5C5B"/>
    <w:rsid w:val="008F74E1"/>
    <w:rsid w:val="008F7504"/>
    <w:rsid w:val="008F7578"/>
    <w:rsid w:val="008F7C6C"/>
    <w:rsid w:val="009000E2"/>
    <w:rsid w:val="00901501"/>
    <w:rsid w:val="0090177D"/>
    <w:rsid w:val="0090236F"/>
    <w:rsid w:val="00902B50"/>
    <w:rsid w:val="00902B6E"/>
    <w:rsid w:val="00903A27"/>
    <w:rsid w:val="00904036"/>
    <w:rsid w:val="009046F1"/>
    <w:rsid w:val="00904C4D"/>
    <w:rsid w:val="00905941"/>
    <w:rsid w:val="00906027"/>
    <w:rsid w:val="0090679D"/>
    <w:rsid w:val="00906CD1"/>
    <w:rsid w:val="00907219"/>
    <w:rsid w:val="009077BA"/>
    <w:rsid w:val="00910272"/>
    <w:rsid w:val="009104E2"/>
    <w:rsid w:val="009109BB"/>
    <w:rsid w:val="00910CF1"/>
    <w:rsid w:val="00910DA8"/>
    <w:rsid w:val="0091134C"/>
    <w:rsid w:val="00911CEC"/>
    <w:rsid w:val="00911D61"/>
    <w:rsid w:val="0091205A"/>
    <w:rsid w:val="00912D13"/>
    <w:rsid w:val="00912E4E"/>
    <w:rsid w:val="00912FFD"/>
    <w:rsid w:val="00913A7C"/>
    <w:rsid w:val="00914A58"/>
    <w:rsid w:val="00916D05"/>
    <w:rsid w:val="00916E58"/>
    <w:rsid w:val="0091751E"/>
    <w:rsid w:val="00917C90"/>
    <w:rsid w:val="00917CEA"/>
    <w:rsid w:val="009210A6"/>
    <w:rsid w:val="00921668"/>
    <w:rsid w:val="00921B12"/>
    <w:rsid w:val="0092207A"/>
    <w:rsid w:val="00925F5C"/>
    <w:rsid w:val="00926108"/>
    <w:rsid w:val="009267B5"/>
    <w:rsid w:val="009274A2"/>
    <w:rsid w:val="00927834"/>
    <w:rsid w:val="00927D2E"/>
    <w:rsid w:val="00927ED3"/>
    <w:rsid w:val="0093009B"/>
    <w:rsid w:val="00930F71"/>
    <w:rsid w:val="00932C4F"/>
    <w:rsid w:val="0093306D"/>
    <w:rsid w:val="0093379A"/>
    <w:rsid w:val="009342D4"/>
    <w:rsid w:val="0093579A"/>
    <w:rsid w:val="00935BC8"/>
    <w:rsid w:val="00936103"/>
    <w:rsid w:val="0093630A"/>
    <w:rsid w:val="009363E4"/>
    <w:rsid w:val="0093721A"/>
    <w:rsid w:val="0094091A"/>
    <w:rsid w:val="00940FAF"/>
    <w:rsid w:val="00941106"/>
    <w:rsid w:val="0094254E"/>
    <w:rsid w:val="00942A97"/>
    <w:rsid w:val="0094361A"/>
    <w:rsid w:val="009446F3"/>
    <w:rsid w:val="00944C5D"/>
    <w:rsid w:val="009452DD"/>
    <w:rsid w:val="00945954"/>
    <w:rsid w:val="00946AAA"/>
    <w:rsid w:val="00946DEA"/>
    <w:rsid w:val="00946F0D"/>
    <w:rsid w:val="009505CB"/>
    <w:rsid w:val="00950C57"/>
    <w:rsid w:val="00950ED0"/>
    <w:rsid w:val="00951B29"/>
    <w:rsid w:val="00951F4A"/>
    <w:rsid w:val="0095221C"/>
    <w:rsid w:val="009524F3"/>
    <w:rsid w:val="009530D4"/>
    <w:rsid w:val="00953367"/>
    <w:rsid w:val="00955062"/>
    <w:rsid w:val="00956B8A"/>
    <w:rsid w:val="009578B8"/>
    <w:rsid w:val="00957980"/>
    <w:rsid w:val="00957D0D"/>
    <w:rsid w:val="00960203"/>
    <w:rsid w:val="0096035B"/>
    <w:rsid w:val="00960363"/>
    <w:rsid w:val="00961979"/>
    <w:rsid w:val="0096244E"/>
    <w:rsid w:val="00962BB3"/>
    <w:rsid w:val="00963E84"/>
    <w:rsid w:val="00964C9C"/>
    <w:rsid w:val="00965A9F"/>
    <w:rsid w:val="00965D1E"/>
    <w:rsid w:val="00966297"/>
    <w:rsid w:val="0096634E"/>
    <w:rsid w:val="00967F1A"/>
    <w:rsid w:val="00970D54"/>
    <w:rsid w:val="009711A6"/>
    <w:rsid w:val="009713A6"/>
    <w:rsid w:val="0097194E"/>
    <w:rsid w:val="00971A4C"/>
    <w:rsid w:val="00971F07"/>
    <w:rsid w:val="00972298"/>
    <w:rsid w:val="0097294F"/>
    <w:rsid w:val="00972DE3"/>
    <w:rsid w:val="009736C2"/>
    <w:rsid w:val="009748AF"/>
    <w:rsid w:val="0097519C"/>
    <w:rsid w:val="00975D51"/>
    <w:rsid w:val="00975D6D"/>
    <w:rsid w:val="00976546"/>
    <w:rsid w:val="00976ADB"/>
    <w:rsid w:val="00976BF3"/>
    <w:rsid w:val="00976C62"/>
    <w:rsid w:val="00977303"/>
    <w:rsid w:val="0097754B"/>
    <w:rsid w:val="0098007F"/>
    <w:rsid w:val="00980CB7"/>
    <w:rsid w:val="00980FB9"/>
    <w:rsid w:val="009815C2"/>
    <w:rsid w:val="00981651"/>
    <w:rsid w:val="0098177E"/>
    <w:rsid w:val="0098282E"/>
    <w:rsid w:val="009837CE"/>
    <w:rsid w:val="00984013"/>
    <w:rsid w:val="00985D20"/>
    <w:rsid w:val="009871D4"/>
    <w:rsid w:val="00987A91"/>
    <w:rsid w:val="00987C1A"/>
    <w:rsid w:val="00990A22"/>
    <w:rsid w:val="00990CBE"/>
    <w:rsid w:val="00991246"/>
    <w:rsid w:val="00991A25"/>
    <w:rsid w:val="00991B8A"/>
    <w:rsid w:val="00992028"/>
    <w:rsid w:val="0099215B"/>
    <w:rsid w:val="0099445A"/>
    <w:rsid w:val="00994872"/>
    <w:rsid w:val="0099494B"/>
    <w:rsid w:val="00996C88"/>
    <w:rsid w:val="00997B88"/>
    <w:rsid w:val="00997C33"/>
    <w:rsid w:val="00997E8B"/>
    <w:rsid w:val="009A13B0"/>
    <w:rsid w:val="009A2C81"/>
    <w:rsid w:val="009A3338"/>
    <w:rsid w:val="009A373F"/>
    <w:rsid w:val="009A440D"/>
    <w:rsid w:val="009A5585"/>
    <w:rsid w:val="009A7570"/>
    <w:rsid w:val="009B352E"/>
    <w:rsid w:val="009B398E"/>
    <w:rsid w:val="009B3DC5"/>
    <w:rsid w:val="009B41DE"/>
    <w:rsid w:val="009B4272"/>
    <w:rsid w:val="009B4489"/>
    <w:rsid w:val="009B4AA2"/>
    <w:rsid w:val="009B5697"/>
    <w:rsid w:val="009B5A73"/>
    <w:rsid w:val="009B5D99"/>
    <w:rsid w:val="009B6841"/>
    <w:rsid w:val="009B7A25"/>
    <w:rsid w:val="009C0B74"/>
    <w:rsid w:val="009C2C4F"/>
    <w:rsid w:val="009C3200"/>
    <w:rsid w:val="009C38DF"/>
    <w:rsid w:val="009C406A"/>
    <w:rsid w:val="009C4AAF"/>
    <w:rsid w:val="009C5302"/>
    <w:rsid w:val="009C53E3"/>
    <w:rsid w:val="009C5523"/>
    <w:rsid w:val="009C574B"/>
    <w:rsid w:val="009C76CB"/>
    <w:rsid w:val="009C77C3"/>
    <w:rsid w:val="009D10BF"/>
    <w:rsid w:val="009D1393"/>
    <w:rsid w:val="009D239B"/>
    <w:rsid w:val="009D2CC0"/>
    <w:rsid w:val="009D2F0B"/>
    <w:rsid w:val="009D31AD"/>
    <w:rsid w:val="009D498B"/>
    <w:rsid w:val="009D4D19"/>
    <w:rsid w:val="009D4E37"/>
    <w:rsid w:val="009D6671"/>
    <w:rsid w:val="009D6F82"/>
    <w:rsid w:val="009D75E3"/>
    <w:rsid w:val="009E081E"/>
    <w:rsid w:val="009E0A2D"/>
    <w:rsid w:val="009E2CBF"/>
    <w:rsid w:val="009E30B1"/>
    <w:rsid w:val="009E3A24"/>
    <w:rsid w:val="009E3DA3"/>
    <w:rsid w:val="009E51E8"/>
    <w:rsid w:val="009E559C"/>
    <w:rsid w:val="009F0261"/>
    <w:rsid w:val="009F0AE7"/>
    <w:rsid w:val="009F15F3"/>
    <w:rsid w:val="009F188A"/>
    <w:rsid w:val="009F1A3E"/>
    <w:rsid w:val="009F2245"/>
    <w:rsid w:val="009F26DF"/>
    <w:rsid w:val="009F30AA"/>
    <w:rsid w:val="009F3211"/>
    <w:rsid w:val="009F5306"/>
    <w:rsid w:val="009F577E"/>
    <w:rsid w:val="009F5DFB"/>
    <w:rsid w:val="009F65B3"/>
    <w:rsid w:val="009F6FF2"/>
    <w:rsid w:val="009F7756"/>
    <w:rsid w:val="00A01DB7"/>
    <w:rsid w:val="00A01DDD"/>
    <w:rsid w:val="00A02AFD"/>
    <w:rsid w:val="00A03769"/>
    <w:rsid w:val="00A04F54"/>
    <w:rsid w:val="00A05407"/>
    <w:rsid w:val="00A05735"/>
    <w:rsid w:val="00A05A01"/>
    <w:rsid w:val="00A05B8D"/>
    <w:rsid w:val="00A05C56"/>
    <w:rsid w:val="00A0616E"/>
    <w:rsid w:val="00A0678F"/>
    <w:rsid w:val="00A069CE"/>
    <w:rsid w:val="00A06DC9"/>
    <w:rsid w:val="00A077CA"/>
    <w:rsid w:val="00A07849"/>
    <w:rsid w:val="00A12DB8"/>
    <w:rsid w:val="00A12E8F"/>
    <w:rsid w:val="00A132D6"/>
    <w:rsid w:val="00A13CD7"/>
    <w:rsid w:val="00A14EC3"/>
    <w:rsid w:val="00A15425"/>
    <w:rsid w:val="00A16732"/>
    <w:rsid w:val="00A16995"/>
    <w:rsid w:val="00A16AA8"/>
    <w:rsid w:val="00A17069"/>
    <w:rsid w:val="00A1757D"/>
    <w:rsid w:val="00A2078A"/>
    <w:rsid w:val="00A20E04"/>
    <w:rsid w:val="00A21535"/>
    <w:rsid w:val="00A21DA2"/>
    <w:rsid w:val="00A22A78"/>
    <w:rsid w:val="00A22E62"/>
    <w:rsid w:val="00A24C76"/>
    <w:rsid w:val="00A24F40"/>
    <w:rsid w:val="00A26460"/>
    <w:rsid w:val="00A26C87"/>
    <w:rsid w:val="00A26FBE"/>
    <w:rsid w:val="00A27D1E"/>
    <w:rsid w:val="00A27D78"/>
    <w:rsid w:val="00A27E05"/>
    <w:rsid w:val="00A30124"/>
    <w:rsid w:val="00A304C2"/>
    <w:rsid w:val="00A30543"/>
    <w:rsid w:val="00A30B8F"/>
    <w:rsid w:val="00A30E03"/>
    <w:rsid w:val="00A316CB"/>
    <w:rsid w:val="00A327D5"/>
    <w:rsid w:val="00A32987"/>
    <w:rsid w:val="00A32D2F"/>
    <w:rsid w:val="00A3301D"/>
    <w:rsid w:val="00A35F95"/>
    <w:rsid w:val="00A35FC9"/>
    <w:rsid w:val="00A3635D"/>
    <w:rsid w:val="00A37E76"/>
    <w:rsid w:val="00A4173F"/>
    <w:rsid w:val="00A422E2"/>
    <w:rsid w:val="00A42313"/>
    <w:rsid w:val="00A4258E"/>
    <w:rsid w:val="00A43A31"/>
    <w:rsid w:val="00A442F0"/>
    <w:rsid w:val="00A44688"/>
    <w:rsid w:val="00A456F6"/>
    <w:rsid w:val="00A472AD"/>
    <w:rsid w:val="00A479A9"/>
    <w:rsid w:val="00A50A20"/>
    <w:rsid w:val="00A50A22"/>
    <w:rsid w:val="00A520BB"/>
    <w:rsid w:val="00A53D9E"/>
    <w:rsid w:val="00A53DF9"/>
    <w:rsid w:val="00A54B7E"/>
    <w:rsid w:val="00A55D65"/>
    <w:rsid w:val="00A56D8E"/>
    <w:rsid w:val="00A56FE9"/>
    <w:rsid w:val="00A5705C"/>
    <w:rsid w:val="00A5714A"/>
    <w:rsid w:val="00A573EB"/>
    <w:rsid w:val="00A602E1"/>
    <w:rsid w:val="00A6120A"/>
    <w:rsid w:val="00A618D4"/>
    <w:rsid w:val="00A61B08"/>
    <w:rsid w:val="00A62207"/>
    <w:rsid w:val="00A64A6B"/>
    <w:rsid w:val="00A650B1"/>
    <w:rsid w:val="00A65877"/>
    <w:rsid w:val="00A65D51"/>
    <w:rsid w:val="00A677D8"/>
    <w:rsid w:val="00A67F9D"/>
    <w:rsid w:val="00A714E6"/>
    <w:rsid w:val="00A71C25"/>
    <w:rsid w:val="00A721ED"/>
    <w:rsid w:val="00A7356B"/>
    <w:rsid w:val="00A75798"/>
    <w:rsid w:val="00A77346"/>
    <w:rsid w:val="00A816D0"/>
    <w:rsid w:val="00A85772"/>
    <w:rsid w:val="00A8616A"/>
    <w:rsid w:val="00A8682A"/>
    <w:rsid w:val="00A87448"/>
    <w:rsid w:val="00A934DB"/>
    <w:rsid w:val="00A93D6C"/>
    <w:rsid w:val="00A95C0F"/>
    <w:rsid w:val="00A95FC0"/>
    <w:rsid w:val="00A9747A"/>
    <w:rsid w:val="00A978E1"/>
    <w:rsid w:val="00A97E08"/>
    <w:rsid w:val="00AA03B9"/>
    <w:rsid w:val="00AA135B"/>
    <w:rsid w:val="00AA1420"/>
    <w:rsid w:val="00AA15FC"/>
    <w:rsid w:val="00AA1FEF"/>
    <w:rsid w:val="00AA210C"/>
    <w:rsid w:val="00AA21E6"/>
    <w:rsid w:val="00AA2B80"/>
    <w:rsid w:val="00AA306B"/>
    <w:rsid w:val="00AA3509"/>
    <w:rsid w:val="00AA40EC"/>
    <w:rsid w:val="00AA4C47"/>
    <w:rsid w:val="00AA4D5B"/>
    <w:rsid w:val="00AA52FA"/>
    <w:rsid w:val="00AA53B0"/>
    <w:rsid w:val="00AA5E3F"/>
    <w:rsid w:val="00AA5F32"/>
    <w:rsid w:val="00AA642F"/>
    <w:rsid w:val="00AA7FBB"/>
    <w:rsid w:val="00AB00AF"/>
    <w:rsid w:val="00AB04B9"/>
    <w:rsid w:val="00AB1397"/>
    <w:rsid w:val="00AB38B5"/>
    <w:rsid w:val="00AB390B"/>
    <w:rsid w:val="00AB3A01"/>
    <w:rsid w:val="00AB3DB0"/>
    <w:rsid w:val="00AB3E99"/>
    <w:rsid w:val="00AB4385"/>
    <w:rsid w:val="00AB46EC"/>
    <w:rsid w:val="00AB58FD"/>
    <w:rsid w:val="00AB6E76"/>
    <w:rsid w:val="00AB714E"/>
    <w:rsid w:val="00AB7C09"/>
    <w:rsid w:val="00AB7D03"/>
    <w:rsid w:val="00AC17A4"/>
    <w:rsid w:val="00AC3238"/>
    <w:rsid w:val="00AC3EE3"/>
    <w:rsid w:val="00AC40E9"/>
    <w:rsid w:val="00AC423B"/>
    <w:rsid w:val="00AC454B"/>
    <w:rsid w:val="00AC501B"/>
    <w:rsid w:val="00AC5316"/>
    <w:rsid w:val="00AC5BB5"/>
    <w:rsid w:val="00AC6095"/>
    <w:rsid w:val="00AC6BEB"/>
    <w:rsid w:val="00AC72CC"/>
    <w:rsid w:val="00AC7471"/>
    <w:rsid w:val="00AC7AAD"/>
    <w:rsid w:val="00AD0407"/>
    <w:rsid w:val="00AD1D28"/>
    <w:rsid w:val="00AD21F2"/>
    <w:rsid w:val="00AD2D11"/>
    <w:rsid w:val="00AD2E66"/>
    <w:rsid w:val="00AD325B"/>
    <w:rsid w:val="00AD402F"/>
    <w:rsid w:val="00AD4395"/>
    <w:rsid w:val="00AD5C7D"/>
    <w:rsid w:val="00AD5FA3"/>
    <w:rsid w:val="00AD652A"/>
    <w:rsid w:val="00AD7873"/>
    <w:rsid w:val="00AE08F3"/>
    <w:rsid w:val="00AE0A53"/>
    <w:rsid w:val="00AE1A57"/>
    <w:rsid w:val="00AE21F6"/>
    <w:rsid w:val="00AE39FD"/>
    <w:rsid w:val="00AE3C82"/>
    <w:rsid w:val="00AE3CB4"/>
    <w:rsid w:val="00AE3CCB"/>
    <w:rsid w:val="00AE3E89"/>
    <w:rsid w:val="00AE4837"/>
    <w:rsid w:val="00AE5810"/>
    <w:rsid w:val="00AE6905"/>
    <w:rsid w:val="00AE6A2B"/>
    <w:rsid w:val="00AE7A9C"/>
    <w:rsid w:val="00AE7BD2"/>
    <w:rsid w:val="00AE7F0F"/>
    <w:rsid w:val="00AF0006"/>
    <w:rsid w:val="00AF0594"/>
    <w:rsid w:val="00AF076B"/>
    <w:rsid w:val="00AF079A"/>
    <w:rsid w:val="00AF0E28"/>
    <w:rsid w:val="00AF0EF5"/>
    <w:rsid w:val="00AF290F"/>
    <w:rsid w:val="00AF3E3A"/>
    <w:rsid w:val="00AF5212"/>
    <w:rsid w:val="00AF558D"/>
    <w:rsid w:val="00AF5FF0"/>
    <w:rsid w:val="00AF6011"/>
    <w:rsid w:val="00AF6520"/>
    <w:rsid w:val="00AF6552"/>
    <w:rsid w:val="00AF7156"/>
    <w:rsid w:val="00AF7300"/>
    <w:rsid w:val="00B029D0"/>
    <w:rsid w:val="00B02EBD"/>
    <w:rsid w:val="00B03E23"/>
    <w:rsid w:val="00B03F04"/>
    <w:rsid w:val="00B04CE8"/>
    <w:rsid w:val="00B05395"/>
    <w:rsid w:val="00B07239"/>
    <w:rsid w:val="00B07D9E"/>
    <w:rsid w:val="00B10193"/>
    <w:rsid w:val="00B1108F"/>
    <w:rsid w:val="00B1121C"/>
    <w:rsid w:val="00B114D1"/>
    <w:rsid w:val="00B11608"/>
    <w:rsid w:val="00B11DB8"/>
    <w:rsid w:val="00B122E2"/>
    <w:rsid w:val="00B142E9"/>
    <w:rsid w:val="00B14DC7"/>
    <w:rsid w:val="00B153D1"/>
    <w:rsid w:val="00B16144"/>
    <w:rsid w:val="00B16961"/>
    <w:rsid w:val="00B16C16"/>
    <w:rsid w:val="00B172CF"/>
    <w:rsid w:val="00B17790"/>
    <w:rsid w:val="00B177AF"/>
    <w:rsid w:val="00B20532"/>
    <w:rsid w:val="00B21A57"/>
    <w:rsid w:val="00B21AFC"/>
    <w:rsid w:val="00B2566C"/>
    <w:rsid w:val="00B25741"/>
    <w:rsid w:val="00B25D7C"/>
    <w:rsid w:val="00B2645A"/>
    <w:rsid w:val="00B26D68"/>
    <w:rsid w:val="00B26DA7"/>
    <w:rsid w:val="00B278E2"/>
    <w:rsid w:val="00B278FB"/>
    <w:rsid w:val="00B27CF4"/>
    <w:rsid w:val="00B27DEB"/>
    <w:rsid w:val="00B30FC8"/>
    <w:rsid w:val="00B31AE3"/>
    <w:rsid w:val="00B3254E"/>
    <w:rsid w:val="00B3322A"/>
    <w:rsid w:val="00B334EA"/>
    <w:rsid w:val="00B33574"/>
    <w:rsid w:val="00B33D6C"/>
    <w:rsid w:val="00B3454F"/>
    <w:rsid w:val="00B34878"/>
    <w:rsid w:val="00B34DDC"/>
    <w:rsid w:val="00B352CA"/>
    <w:rsid w:val="00B36222"/>
    <w:rsid w:val="00B362FD"/>
    <w:rsid w:val="00B368B9"/>
    <w:rsid w:val="00B36C94"/>
    <w:rsid w:val="00B36E3B"/>
    <w:rsid w:val="00B376E9"/>
    <w:rsid w:val="00B37DCA"/>
    <w:rsid w:val="00B37F48"/>
    <w:rsid w:val="00B40F3B"/>
    <w:rsid w:val="00B41495"/>
    <w:rsid w:val="00B42131"/>
    <w:rsid w:val="00B42386"/>
    <w:rsid w:val="00B4263D"/>
    <w:rsid w:val="00B4319A"/>
    <w:rsid w:val="00B432C3"/>
    <w:rsid w:val="00B43650"/>
    <w:rsid w:val="00B4464E"/>
    <w:rsid w:val="00B4513A"/>
    <w:rsid w:val="00B4553E"/>
    <w:rsid w:val="00B46AAB"/>
    <w:rsid w:val="00B47479"/>
    <w:rsid w:val="00B474E7"/>
    <w:rsid w:val="00B504BA"/>
    <w:rsid w:val="00B50C44"/>
    <w:rsid w:val="00B5177C"/>
    <w:rsid w:val="00B52C91"/>
    <w:rsid w:val="00B52EAD"/>
    <w:rsid w:val="00B530FE"/>
    <w:rsid w:val="00B540D2"/>
    <w:rsid w:val="00B54CE5"/>
    <w:rsid w:val="00B5554A"/>
    <w:rsid w:val="00B56C6C"/>
    <w:rsid w:val="00B56CC6"/>
    <w:rsid w:val="00B600A8"/>
    <w:rsid w:val="00B60690"/>
    <w:rsid w:val="00B61943"/>
    <w:rsid w:val="00B619B9"/>
    <w:rsid w:val="00B620E2"/>
    <w:rsid w:val="00B622D8"/>
    <w:rsid w:val="00B62B77"/>
    <w:rsid w:val="00B631D6"/>
    <w:rsid w:val="00B64713"/>
    <w:rsid w:val="00B64B3A"/>
    <w:rsid w:val="00B64D08"/>
    <w:rsid w:val="00B6592F"/>
    <w:rsid w:val="00B65E48"/>
    <w:rsid w:val="00B66466"/>
    <w:rsid w:val="00B66CB0"/>
    <w:rsid w:val="00B670E2"/>
    <w:rsid w:val="00B70140"/>
    <w:rsid w:val="00B70412"/>
    <w:rsid w:val="00B70458"/>
    <w:rsid w:val="00B70882"/>
    <w:rsid w:val="00B71974"/>
    <w:rsid w:val="00B73415"/>
    <w:rsid w:val="00B73D76"/>
    <w:rsid w:val="00B744A7"/>
    <w:rsid w:val="00B756C9"/>
    <w:rsid w:val="00B76683"/>
    <w:rsid w:val="00B769BA"/>
    <w:rsid w:val="00B76BF2"/>
    <w:rsid w:val="00B77471"/>
    <w:rsid w:val="00B807A7"/>
    <w:rsid w:val="00B80813"/>
    <w:rsid w:val="00B81627"/>
    <w:rsid w:val="00B826D2"/>
    <w:rsid w:val="00B82F84"/>
    <w:rsid w:val="00B8374C"/>
    <w:rsid w:val="00B841E0"/>
    <w:rsid w:val="00B84331"/>
    <w:rsid w:val="00B84768"/>
    <w:rsid w:val="00B8476C"/>
    <w:rsid w:val="00B84D6E"/>
    <w:rsid w:val="00B854D6"/>
    <w:rsid w:val="00B85875"/>
    <w:rsid w:val="00B85B1F"/>
    <w:rsid w:val="00B86244"/>
    <w:rsid w:val="00B86BDD"/>
    <w:rsid w:val="00B87044"/>
    <w:rsid w:val="00B8779D"/>
    <w:rsid w:val="00B903B7"/>
    <w:rsid w:val="00B90799"/>
    <w:rsid w:val="00B9099C"/>
    <w:rsid w:val="00B91069"/>
    <w:rsid w:val="00B923C2"/>
    <w:rsid w:val="00B92BAE"/>
    <w:rsid w:val="00B932B4"/>
    <w:rsid w:val="00B93518"/>
    <w:rsid w:val="00B94212"/>
    <w:rsid w:val="00B94A69"/>
    <w:rsid w:val="00B95824"/>
    <w:rsid w:val="00B95F63"/>
    <w:rsid w:val="00B9605F"/>
    <w:rsid w:val="00B9782F"/>
    <w:rsid w:val="00B9785C"/>
    <w:rsid w:val="00B97A0E"/>
    <w:rsid w:val="00B97C8D"/>
    <w:rsid w:val="00BA2762"/>
    <w:rsid w:val="00BA4039"/>
    <w:rsid w:val="00BA4B62"/>
    <w:rsid w:val="00BA591A"/>
    <w:rsid w:val="00BA5E52"/>
    <w:rsid w:val="00BB0AAF"/>
    <w:rsid w:val="00BB1052"/>
    <w:rsid w:val="00BB2A72"/>
    <w:rsid w:val="00BB2AB3"/>
    <w:rsid w:val="00BB348E"/>
    <w:rsid w:val="00BB3746"/>
    <w:rsid w:val="00BB37BB"/>
    <w:rsid w:val="00BB40E8"/>
    <w:rsid w:val="00BB5831"/>
    <w:rsid w:val="00BB5A6C"/>
    <w:rsid w:val="00BB65D3"/>
    <w:rsid w:val="00BB687B"/>
    <w:rsid w:val="00BB6F0D"/>
    <w:rsid w:val="00BB7105"/>
    <w:rsid w:val="00BB7845"/>
    <w:rsid w:val="00BB7932"/>
    <w:rsid w:val="00BC11E9"/>
    <w:rsid w:val="00BC1FD2"/>
    <w:rsid w:val="00BC20C0"/>
    <w:rsid w:val="00BC25BB"/>
    <w:rsid w:val="00BC268E"/>
    <w:rsid w:val="00BC2818"/>
    <w:rsid w:val="00BC2D1D"/>
    <w:rsid w:val="00BC307A"/>
    <w:rsid w:val="00BC5559"/>
    <w:rsid w:val="00BC6D23"/>
    <w:rsid w:val="00BC73CB"/>
    <w:rsid w:val="00BD02E6"/>
    <w:rsid w:val="00BD037F"/>
    <w:rsid w:val="00BD0A94"/>
    <w:rsid w:val="00BD0CB4"/>
    <w:rsid w:val="00BD4607"/>
    <w:rsid w:val="00BD5239"/>
    <w:rsid w:val="00BD55FA"/>
    <w:rsid w:val="00BE0397"/>
    <w:rsid w:val="00BE0F75"/>
    <w:rsid w:val="00BE185A"/>
    <w:rsid w:val="00BE1F86"/>
    <w:rsid w:val="00BE2B23"/>
    <w:rsid w:val="00BE3ED4"/>
    <w:rsid w:val="00BE3F3E"/>
    <w:rsid w:val="00BE5F1D"/>
    <w:rsid w:val="00BE616A"/>
    <w:rsid w:val="00BE67CD"/>
    <w:rsid w:val="00BE687A"/>
    <w:rsid w:val="00BE7396"/>
    <w:rsid w:val="00BE7ECE"/>
    <w:rsid w:val="00BE7EFB"/>
    <w:rsid w:val="00BF090A"/>
    <w:rsid w:val="00BF1632"/>
    <w:rsid w:val="00BF2AAA"/>
    <w:rsid w:val="00BF3EEA"/>
    <w:rsid w:val="00BF4190"/>
    <w:rsid w:val="00BF44E5"/>
    <w:rsid w:val="00BF6404"/>
    <w:rsid w:val="00BF67C5"/>
    <w:rsid w:val="00C00C6E"/>
    <w:rsid w:val="00C01D73"/>
    <w:rsid w:val="00C01DE1"/>
    <w:rsid w:val="00C025FF"/>
    <w:rsid w:val="00C028AF"/>
    <w:rsid w:val="00C03049"/>
    <w:rsid w:val="00C0413B"/>
    <w:rsid w:val="00C0426A"/>
    <w:rsid w:val="00C051F5"/>
    <w:rsid w:val="00C05204"/>
    <w:rsid w:val="00C05244"/>
    <w:rsid w:val="00C059B1"/>
    <w:rsid w:val="00C05AFF"/>
    <w:rsid w:val="00C05D71"/>
    <w:rsid w:val="00C07EC7"/>
    <w:rsid w:val="00C1060D"/>
    <w:rsid w:val="00C10A00"/>
    <w:rsid w:val="00C10F78"/>
    <w:rsid w:val="00C1176D"/>
    <w:rsid w:val="00C12111"/>
    <w:rsid w:val="00C12664"/>
    <w:rsid w:val="00C14601"/>
    <w:rsid w:val="00C14B70"/>
    <w:rsid w:val="00C14B7B"/>
    <w:rsid w:val="00C14D0B"/>
    <w:rsid w:val="00C1537B"/>
    <w:rsid w:val="00C15B74"/>
    <w:rsid w:val="00C16A92"/>
    <w:rsid w:val="00C16FA7"/>
    <w:rsid w:val="00C17121"/>
    <w:rsid w:val="00C173F4"/>
    <w:rsid w:val="00C176C5"/>
    <w:rsid w:val="00C17DE1"/>
    <w:rsid w:val="00C17F08"/>
    <w:rsid w:val="00C20BBE"/>
    <w:rsid w:val="00C213A3"/>
    <w:rsid w:val="00C21CBB"/>
    <w:rsid w:val="00C21DAE"/>
    <w:rsid w:val="00C2302A"/>
    <w:rsid w:val="00C2323C"/>
    <w:rsid w:val="00C237A7"/>
    <w:rsid w:val="00C23F5E"/>
    <w:rsid w:val="00C24FD2"/>
    <w:rsid w:val="00C25029"/>
    <w:rsid w:val="00C2515F"/>
    <w:rsid w:val="00C2599A"/>
    <w:rsid w:val="00C25CF8"/>
    <w:rsid w:val="00C26D69"/>
    <w:rsid w:val="00C2724D"/>
    <w:rsid w:val="00C2759A"/>
    <w:rsid w:val="00C320A3"/>
    <w:rsid w:val="00C321E1"/>
    <w:rsid w:val="00C32995"/>
    <w:rsid w:val="00C32D58"/>
    <w:rsid w:val="00C33196"/>
    <w:rsid w:val="00C33446"/>
    <w:rsid w:val="00C35538"/>
    <w:rsid w:val="00C3586A"/>
    <w:rsid w:val="00C35BFE"/>
    <w:rsid w:val="00C36749"/>
    <w:rsid w:val="00C36D5E"/>
    <w:rsid w:val="00C3776A"/>
    <w:rsid w:val="00C37D7C"/>
    <w:rsid w:val="00C37D85"/>
    <w:rsid w:val="00C40CBC"/>
    <w:rsid w:val="00C41447"/>
    <w:rsid w:val="00C41C2A"/>
    <w:rsid w:val="00C41FF4"/>
    <w:rsid w:val="00C42A31"/>
    <w:rsid w:val="00C42B0A"/>
    <w:rsid w:val="00C42B49"/>
    <w:rsid w:val="00C44215"/>
    <w:rsid w:val="00C44528"/>
    <w:rsid w:val="00C449F9"/>
    <w:rsid w:val="00C44F65"/>
    <w:rsid w:val="00C450A1"/>
    <w:rsid w:val="00C45277"/>
    <w:rsid w:val="00C45805"/>
    <w:rsid w:val="00C50046"/>
    <w:rsid w:val="00C50363"/>
    <w:rsid w:val="00C5049D"/>
    <w:rsid w:val="00C516BE"/>
    <w:rsid w:val="00C51F05"/>
    <w:rsid w:val="00C5292E"/>
    <w:rsid w:val="00C53A2E"/>
    <w:rsid w:val="00C53F7F"/>
    <w:rsid w:val="00C552D4"/>
    <w:rsid w:val="00C55527"/>
    <w:rsid w:val="00C55A88"/>
    <w:rsid w:val="00C55FF5"/>
    <w:rsid w:val="00C60DB0"/>
    <w:rsid w:val="00C61C9C"/>
    <w:rsid w:val="00C61FE2"/>
    <w:rsid w:val="00C6244A"/>
    <w:rsid w:val="00C62C93"/>
    <w:rsid w:val="00C63941"/>
    <w:rsid w:val="00C642BF"/>
    <w:rsid w:val="00C65620"/>
    <w:rsid w:val="00C66679"/>
    <w:rsid w:val="00C66702"/>
    <w:rsid w:val="00C66944"/>
    <w:rsid w:val="00C71488"/>
    <w:rsid w:val="00C7194B"/>
    <w:rsid w:val="00C719C1"/>
    <w:rsid w:val="00C71A2C"/>
    <w:rsid w:val="00C72181"/>
    <w:rsid w:val="00C72946"/>
    <w:rsid w:val="00C72FA7"/>
    <w:rsid w:val="00C730F0"/>
    <w:rsid w:val="00C7348A"/>
    <w:rsid w:val="00C73A0E"/>
    <w:rsid w:val="00C753E3"/>
    <w:rsid w:val="00C75600"/>
    <w:rsid w:val="00C757F1"/>
    <w:rsid w:val="00C759A7"/>
    <w:rsid w:val="00C7629C"/>
    <w:rsid w:val="00C76715"/>
    <w:rsid w:val="00C77206"/>
    <w:rsid w:val="00C773EE"/>
    <w:rsid w:val="00C77D4D"/>
    <w:rsid w:val="00C77EFB"/>
    <w:rsid w:val="00C81E69"/>
    <w:rsid w:val="00C8206F"/>
    <w:rsid w:val="00C8469F"/>
    <w:rsid w:val="00C84A0B"/>
    <w:rsid w:val="00C85127"/>
    <w:rsid w:val="00C85E32"/>
    <w:rsid w:val="00C860D8"/>
    <w:rsid w:val="00C86C02"/>
    <w:rsid w:val="00C86F22"/>
    <w:rsid w:val="00C87168"/>
    <w:rsid w:val="00C90B43"/>
    <w:rsid w:val="00C90C1A"/>
    <w:rsid w:val="00C91678"/>
    <w:rsid w:val="00C91F9F"/>
    <w:rsid w:val="00C92695"/>
    <w:rsid w:val="00C928A8"/>
    <w:rsid w:val="00C92A71"/>
    <w:rsid w:val="00C92CF6"/>
    <w:rsid w:val="00C932B0"/>
    <w:rsid w:val="00C94107"/>
    <w:rsid w:val="00C976B9"/>
    <w:rsid w:val="00C97E44"/>
    <w:rsid w:val="00CA024A"/>
    <w:rsid w:val="00CA061C"/>
    <w:rsid w:val="00CA1ABB"/>
    <w:rsid w:val="00CA3216"/>
    <w:rsid w:val="00CA380E"/>
    <w:rsid w:val="00CA3EF5"/>
    <w:rsid w:val="00CA4562"/>
    <w:rsid w:val="00CA4A38"/>
    <w:rsid w:val="00CA521B"/>
    <w:rsid w:val="00CA5F3A"/>
    <w:rsid w:val="00CA6309"/>
    <w:rsid w:val="00CA6D36"/>
    <w:rsid w:val="00CA7E2C"/>
    <w:rsid w:val="00CB03F7"/>
    <w:rsid w:val="00CB15ED"/>
    <w:rsid w:val="00CB16B8"/>
    <w:rsid w:val="00CB40E7"/>
    <w:rsid w:val="00CB5260"/>
    <w:rsid w:val="00CB53DE"/>
    <w:rsid w:val="00CB5924"/>
    <w:rsid w:val="00CB6506"/>
    <w:rsid w:val="00CB6661"/>
    <w:rsid w:val="00CB69A1"/>
    <w:rsid w:val="00CB707E"/>
    <w:rsid w:val="00CB7687"/>
    <w:rsid w:val="00CB76CF"/>
    <w:rsid w:val="00CB7876"/>
    <w:rsid w:val="00CB7A3E"/>
    <w:rsid w:val="00CB7B1F"/>
    <w:rsid w:val="00CC0E85"/>
    <w:rsid w:val="00CC3517"/>
    <w:rsid w:val="00CC3E95"/>
    <w:rsid w:val="00CC4500"/>
    <w:rsid w:val="00CC4986"/>
    <w:rsid w:val="00CC590B"/>
    <w:rsid w:val="00CC5FE1"/>
    <w:rsid w:val="00CC726F"/>
    <w:rsid w:val="00CC7471"/>
    <w:rsid w:val="00CC7633"/>
    <w:rsid w:val="00CD1121"/>
    <w:rsid w:val="00CD13F4"/>
    <w:rsid w:val="00CD15D3"/>
    <w:rsid w:val="00CD1711"/>
    <w:rsid w:val="00CD1799"/>
    <w:rsid w:val="00CD1A6A"/>
    <w:rsid w:val="00CD1C2F"/>
    <w:rsid w:val="00CD2CAF"/>
    <w:rsid w:val="00CD2CB8"/>
    <w:rsid w:val="00CD3481"/>
    <w:rsid w:val="00CD416F"/>
    <w:rsid w:val="00CD4284"/>
    <w:rsid w:val="00CD42F8"/>
    <w:rsid w:val="00CD66B8"/>
    <w:rsid w:val="00CE27D7"/>
    <w:rsid w:val="00CE3167"/>
    <w:rsid w:val="00CE53E0"/>
    <w:rsid w:val="00CE5EE4"/>
    <w:rsid w:val="00CE667A"/>
    <w:rsid w:val="00CF0732"/>
    <w:rsid w:val="00CF0D24"/>
    <w:rsid w:val="00CF16C8"/>
    <w:rsid w:val="00CF1DC3"/>
    <w:rsid w:val="00CF2242"/>
    <w:rsid w:val="00CF2441"/>
    <w:rsid w:val="00CF24C9"/>
    <w:rsid w:val="00CF2BB9"/>
    <w:rsid w:val="00CF2C5C"/>
    <w:rsid w:val="00CF32DF"/>
    <w:rsid w:val="00CF4745"/>
    <w:rsid w:val="00CF489D"/>
    <w:rsid w:val="00CF4FDD"/>
    <w:rsid w:val="00CF5627"/>
    <w:rsid w:val="00CF59FE"/>
    <w:rsid w:val="00CF601A"/>
    <w:rsid w:val="00CF6306"/>
    <w:rsid w:val="00CF7E35"/>
    <w:rsid w:val="00D0067C"/>
    <w:rsid w:val="00D0101E"/>
    <w:rsid w:val="00D01D20"/>
    <w:rsid w:val="00D0353C"/>
    <w:rsid w:val="00D037B2"/>
    <w:rsid w:val="00D03987"/>
    <w:rsid w:val="00D05A3D"/>
    <w:rsid w:val="00D065C2"/>
    <w:rsid w:val="00D07CA9"/>
    <w:rsid w:val="00D11062"/>
    <w:rsid w:val="00D11076"/>
    <w:rsid w:val="00D11316"/>
    <w:rsid w:val="00D11ACD"/>
    <w:rsid w:val="00D11ECE"/>
    <w:rsid w:val="00D1319E"/>
    <w:rsid w:val="00D13407"/>
    <w:rsid w:val="00D13C67"/>
    <w:rsid w:val="00D13EAD"/>
    <w:rsid w:val="00D17637"/>
    <w:rsid w:val="00D20DEA"/>
    <w:rsid w:val="00D213B5"/>
    <w:rsid w:val="00D21E01"/>
    <w:rsid w:val="00D220E6"/>
    <w:rsid w:val="00D22E3E"/>
    <w:rsid w:val="00D239CF"/>
    <w:rsid w:val="00D23A01"/>
    <w:rsid w:val="00D24057"/>
    <w:rsid w:val="00D24291"/>
    <w:rsid w:val="00D246EA"/>
    <w:rsid w:val="00D247A0"/>
    <w:rsid w:val="00D2522B"/>
    <w:rsid w:val="00D25273"/>
    <w:rsid w:val="00D26788"/>
    <w:rsid w:val="00D306FE"/>
    <w:rsid w:val="00D30DB5"/>
    <w:rsid w:val="00D30DEC"/>
    <w:rsid w:val="00D30F8F"/>
    <w:rsid w:val="00D3146D"/>
    <w:rsid w:val="00D317F7"/>
    <w:rsid w:val="00D31C9F"/>
    <w:rsid w:val="00D31D03"/>
    <w:rsid w:val="00D32E06"/>
    <w:rsid w:val="00D33112"/>
    <w:rsid w:val="00D33508"/>
    <w:rsid w:val="00D33792"/>
    <w:rsid w:val="00D339A2"/>
    <w:rsid w:val="00D33FA2"/>
    <w:rsid w:val="00D33FB4"/>
    <w:rsid w:val="00D353DF"/>
    <w:rsid w:val="00D36523"/>
    <w:rsid w:val="00D37917"/>
    <w:rsid w:val="00D413BD"/>
    <w:rsid w:val="00D41711"/>
    <w:rsid w:val="00D41E88"/>
    <w:rsid w:val="00D422BA"/>
    <w:rsid w:val="00D4391C"/>
    <w:rsid w:val="00D442CD"/>
    <w:rsid w:val="00D44DA7"/>
    <w:rsid w:val="00D44DFE"/>
    <w:rsid w:val="00D45DC7"/>
    <w:rsid w:val="00D4717C"/>
    <w:rsid w:val="00D47ABA"/>
    <w:rsid w:val="00D52345"/>
    <w:rsid w:val="00D52A11"/>
    <w:rsid w:val="00D53B20"/>
    <w:rsid w:val="00D56A7C"/>
    <w:rsid w:val="00D5716E"/>
    <w:rsid w:val="00D57180"/>
    <w:rsid w:val="00D606B8"/>
    <w:rsid w:val="00D60C9C"/>
    <w:rsid w:val="00D61A7F"/>
    <w:rsid w:val="00D62BCA"/>
    <w:rsid w:val="00D63427"/>
    <w:rsid w:val="00D640A3"/>
    <w:rsid w:val="00D64525"/>
    <w:rsid w:val="00D64E9C"/>
    <w:rsid w:val="00D663E9"/>
    <w:rsid w:val="00D66894"/>
    <w:rsid w:val="00D66A4A"/>
    <w:rsid w:val="00D66B5C"/>
    <w:rsid w:val="00D70C44"/>
    <w:rsid w:val="00D70E26"/>
    <w:rsid w:val="00D712C9"/>
    <w:rsid w:val="00D71F99"/>
    <w:rsid w:val="00D721F4"/>
    <w:rsid w:val="00D732FD"/>
    <w:rsid w:val="00D73D9A"/>
    <w:rsid w:val="00D75232"/>
    <w:rsid w:val="00D75E8C"/>
    <w:rsid w:val="00D7621B"/>
    <w:rsid w:val="00D768DE"/>
    <w:rsid w:val="00D76DCE"/>
    <w:rsid w:val="00D80207"/>
    <w:rsid w:val="00D80C0A"/>
    <w:rsid w:val="00D80F45"/>
    <w:rsid w:val="00D81B6F"/>
    <w:rsid w:val="00D82502"/>
    <w:rsid w:val="00D82791"/>
    <w:rsid w:val="00D83451"/>
    <w:rsid w:val="00D83C3D"/>
    <w:rsid w:val="00D84503"/>
    <w:rsid w:val="00D853DA"/>
    <w:rsid w:val="00D858BB"/>
    <w:rsid w:val="00D85AD4"/>
    <w:rsid w:val="00D85D39"/>
    <w:rsid w:val="00D86F8E"/>
    <w:rsid w:val="00D9065F"/>
    <w:rsid w:val="00D9118E"/>
    <w:rsid w:val="00D91545"/>
    <w:rsid w:val="00D92027"/>
    <w:rsid w:val="00D93BEB"/>
    <w:rsid w:val="00D940DB"/>
    <w:rsid w:val="00D9623B"/>
    <w:rsid w:val="00D96762"/>
    <w:rsid w:val="00D96F57"/>
    <w:rsid w:val="00D9704C"/>
    <w:rsid w:val="00DA14DF"/>
    <w:rsid w:val="00DA1E5C"/>
    <w:rsid w:val="00DA3E2F"/>
    <w:rsid w:val="00DA4354"/>
    <w:rsid w:val="00DA7503"/>
    <w:rsid w:val="00DA7BEE"/>
    <w:rsid w:val="00DB05C9"/>
    <w:rsid w:val="00DB078C"/>
    <w:rsid w:val="00DB0BD0"/>
    <w:rsid w:val="00DB1C6E"/>
    <w:rsid w:val="00DB1F86"/>
    <w:rsid w:val="00DB2F26"/>
    <w:rsid w:val="00DB44B1"/>
    <w:rsid w:val="00DB4CB5"/>
    <w:rsid w:val="00DB6816"/>
    <w:rsid w:val="00DB698E"/>
    <w:rsid w:val="00DB6CFE"/>
    <w:rsid w:val="00DB7796"/>
    <w:rsid w:val="00DC00FD"/>
    <w:rsid w:val="00DC03FB"/>
    <w:rsid w:val="00DC0BB1"/>
    <w:rsid w:val="00DC1738"/>
    <w:rsid w:val="00DC1EFB"/>
    <w:rsid w:val="00DC201C"/>
    <w:rsid w:val="00DC24B9"/>
    <w:rsid w:val="00DC2C23"/>
    <w:rsid w:val="00DC37FD"/>
    <w:rsid w:val="00DC380C"/>
    <w:rsid w:val="00DC3816"/>
    <w:rsid w:val="00DC3834"/>
    <w:rsid w:val="00DC3B4E"/>
    <w:rsid w:val="00DC4ECF"/>
    <w:rsid w:val="00DC5AB7"/>
    <w:rsid w:val="00DC6ECF"/>
    <w:rsid w:val="00DC7B0E"/>
    <w:rsid w:val="00DD08DE"/>
    <w:rsid w:val="00DD0E6F"/>
    <w:rsid w:val="00DD1500"/>
    <w:rsid w:val="00DD1760"/>
    <w:rsid w:val="00DD19AC"/>
    <w:rsid w:val="00DD2297"/>
    <w:rsid w:val="00DD251B"/>
    <w:rsid w:val="00DD27DF"/>
    <w:rsid w:val="00DD2D66"/>
    <w:rsid w:val="00DD3B61"/>
    <w:rsid w:val="00DD3C7E"/>
    <w:rsid w:val="00DD40B6"/>
    <w:rsid w:val="00DD46FE"/>
    <w:rsid w:val="00DD4FA5"/>
    <w:rsid w:val="00DD5CF8"/>
    <w:rsid w:val="00DE0EE5"/>
    <w:rsid w:val="00DE1644"/>
    <w:rsid w:val="00DE19B3"/>
    <w:rsid w:val="00DE1C1B"/>
    <w:rsid w:val="00DE2653"/>
    <w:rsid w:val="00DE2A1A"/>
    <w:rsid w:val="00DE3113"/>
    <w:rsid w:val="00DE32A0"/>
    <w:rsid w:val="00DE349A"/>
    <w:rsid w:val="00DE4535"/>
    <w:rsid w:val="00DE5B2C"/>
    <w:rsid w:val="00DE6348"/>
    <w:rsid w:val="00DE6749"/>
    <w:rsid w:val="00DE6999"/>
    <w:rsid w:val="00DE7228"/>
    <w:rsid w:val="00DF0156"/>
    <w:rsid w:val="00DF0BB0"/>
    <w:rsid w:val="00DF112F"/>
    <w:rsid w:val="00DF1A2F"/>
    <w:rsid w:val="00DF3062"/>
    <w:rsid w:val="00DF3AC0"/>
    <w:rsid w:val="00DF4376"/>
    <w:rsid w:val="00DF555C"/>
    <w:rsid w:val="00DF5E07"/>
    <w:rsid w:val="00DF6D9D"/>
    <w:rsid w:val="00DF6EEC"/>
    <w:rsid w:val="00E0080D"/>
    <w:rsid w:val="00E0084B"/>
    <w:rsid w:val="00E01B72"/>
    <w:rsid w:val="00E02ACA"/>
    <w:rsid w:val="00E033DC"/>
    <w:rsid w:val="00E04945"/>
    <w:rsid w:val="00E04958"/>
    <w:rsid w:val="00E052C8"/>
    <w:rsid w:val="00E079E7"/>
    <w:rsid w:val="00E07C30"/>
    <w:rsid w:val="00E07DEA"/>
    <w:rsid w:val="00E105AD"/>
    <w:rsid w:val="00E10CA5"/>
    <w:rsid w:val="00E1189D"/>
    <w:rsid w:val="00E11BCA"/>
    <w:rsid w:val="00E12B85"/>
    <w:rsid w:val="00E12E4E"/>
    <w:rsid w:val="00E132EC"/>
    <w:rsid w:val="00E13707"/>
    <w:rsid w:val="00E14112"/>
    <w:rsid w:val="00E1437C"/>
    <w:rsid w:val="00E143D3"/>
    <w:rsid w:val="00E144A8"/>
    <w:rsid w:val="00E146DB"/>
    <w:rsid w:val="00E14ECC"/>
    <w:rsid w:val="00E15119"/>
    <w:rsid w:val="00E1513A"/>
    <w:rsid w:val="00E16537"/>
    <w:rsid w:val="00E166FA"/>
    <w:rsid w:val="00E16ABE"/>
    <w:rsid w:val="00E1762D"/>
    <w:rsid w:val="00E17FB8"/>
    <w:rsid w:val="00E20073"/>
    <w:rsid w:val="00E20833"/>
    <w:rsid w:val="00E21241"/>
    <w:rsid w:val="00E213B1"/>
    <w:rsid w:val="00E21613"/>
    <w:rsid w:val="00E226E0"/>
    <w:rsid w:val="00E22A71"/>
    <w:rsid w:val="00E22BFC"/>
    <w:rsid w:val="00E22CAC"/>
    <w:rsid w:val="00E22D1C"/>
    <w:rsid w:val="00E23E4E"/>
    <w:rsid w:val="00E24159"/>
    <w:rsid w:val="00E248DC"/>
    <w:rsid w:val="00E24D5E"/>
    <w:rsid w:val="00E260E8"/>
    <w:rsid w:val="00E2624F"/>
    <w:rsid w:val="00E275CD"/>
    <w:rsid w:val="00E27DFB"/>
    <w:rsid w:val="00E3017C"/>
    <w:rsid w:val="00E3089D"/>
    <w:rsid w:val="00E313A7"/>
    <w:rsid w:val="00E31500"/>
    <w:rsid w:val="00E32607"/>
    <w:rsid w:val="00E32A01"/>
    <w:rsid w:val="00E33392"/>
    <w:rsid w:val="00E3415F"/>
    <w:rsid w:val="00E34922"/>
    <w:rsid w:val="00E3498F"/>
    <w:rsid w:val="00E34AED"/>
    <w:rsid w:val="00E34C16"/>
    <w:rsid w:val="00E3546A"/>
    <w:rsid w:val="00E3552F"/>
    <w:rsid w:val="00E35A24"/>
    <w:rsid w:val="00E374DC"/>
    <w:rsid w:val="00E37501"/>
    <w:rsid w:val="00E3779C"/>
    <w:rsid w:val="00E408DD"/>
    <w:rsid w:val="00E40A8A"/>
    <w:rsid w:val="00E40F18"/>
    <w:rsid w:val="00E415CC"/>
    <w:rsid w:val="00E41FAC"/>
    <w:rsid w:val="00E4304C"/>
    <w:rsid w:val="00E44B10"/>
    <w:rsid w:val="00E466D9"/>
    <w:rsid w:val="00E46BF4"/>
    <w:rsid w:val="00E46D10"/>
    <w:rsid w:val="00E5000C"/>
    <w:rsid w:val="00E502A4"/>
    <w:rsid w:val="00E51262"/>
    <w:rsid w:val="00E51AEB"/>
    <w:rsid w:val="00E51EC6"/>
    <w:rsid w:val="00E52429"/>
    <w:rsid w:val="00E52D2E"/>
    <w:rsid w:val="00E531D6"/>
    <w:rsid w:val="00E53D22"/>
    <w:rsid w:val="00E550A6"/>
    <w:rsid w:val="00E55EA6"/>
    <w:rsid w:val="00E5615C"/>
    <w:rsid w:val="00E60696"/>
    <w:rsid w:val="00E609CF"/>
    <w:rsid w:val="00E60EE8"/>
    <w:rsid w:val="00E6116D"/>
    <w:rsid w:val="00E62071"/>
    <w:rsid w:val="00E6304D"/>
    <w:rsid w:val="00E639BC"/>
    <w:rsid w:val="00E63D6C"/>
    <w:rsid w:val="00E64697"/>
    <w:rsid w:val="00E659FA"/>
    <w:rsid w:val="00E65CBB"/>
    <w:rsid w:val="00E65F5C"/>
    <w:rsid w:val="00E661B2"/>
    <w:rsid w:val="00E664DE"/>
    <w:rsid w:val="00E6720D"/>
    <w:rsid w:val="00E6798B"/>
    <w:rsid w:val="00E7012B"/>
    <w:rsid w:val="00E706C0"/>
    <w:rsid w:val="00E70C37"/>
    <w:rsid w:val="00E71FE4"/>
    <w:rsid w:val="00E727EE"/>
    <w:rsid w:val="00E72A30"/>
    <w:rsid w:val="00E73C36"/>
    <w:rsid w:val="00E73D00"/>
    <w:rsid w:val="00E73F13"/>
    <w:rsid w:val="00E74625"/>
    <w:rsid w:val="00E747D5"/>
    <w:rsid w:val="00E74C51"/>
    <w:rsid w:val="00E75674"/>
    <w:rsid w:val="00E75D32"/>
    <w:rsid w:val="00E75E83"/>
    <w:rsid w:val="00E77C6A"/>
    <w:rsid w:val="00E8119C"/>
    <w:rsid w:val="00E81D6D"/>
    <w:rsid w:val="00E82695"/>
    <w:rsid w:val="00E8287C"/>
    <w:rsid w:val="00E83238"/>
    <w:rsid w:val="00E8330F"/>
    <w:rsid w:val="00E838A8"/>
    <w:rsid w:val="00E84440"/>
    <w:rsid w:val="00E84AA2"/>
    <w:rsid w:val="00E8528B"/>
    <w:rsid w:val="00E856E0"/>
    <w:rsid w:val="00E8594E"/>
    <w:rsid w:val="00E86C77"/>
    <w:rsid w:val="00E87940"/>
    <w:rsid w:val="00E90147"/>
    <w:rsid w:val="00E90846"/>
    <w:rsid w:val="00E91967"/>
    <w:rsid w:val="00E920D0"/>
    <w:rsid w:val="00E92142"/>
    <w:rsid w:val="00E92461"/>
    <w:rsid w:val="00E929BC"/>
    <w:rsid w:val="00E92B0A"/>
    <w:rsid w:val="00E92EE6"/>
    <w:rsid w:val="00E9388B"/>
    <w:rsid w:val="00E93BD4"/>
    <w:rsid w:val="00E9530D"/>
    <w:rsid w:val="00E95867"/>
    <w:rsid w:val="00E96A4E"/>
    <w:rsid w:val="00E97484"/>
    <w:rsid w:val="00E97513"/>
    <w:rsid w:val="00E97E93"/>
    <w:rsid w:val="00E97ED7"/>
    <w:rsid w:val="00EA021E"/>
    <w:rsid w:val="00EA0F69"/>
    <w:rsid w:val="00EA0FB9"/>
    <w:rsid w:val="00EA16BF"/>
    <w:rsid w:val="00EA1B89"/>
    <w:rsid w:val="00EA33E0"/>
    <w:rsid w:val="00EA3962"/>
    <w:rsid w:val="00EA4A12"/>
    <w:rsid w:val="00EA4D26"/>
    <w:rsid w:val="00EA54D1"/>
    <w:rsid w:val="00EA58F0"/>
    <w:rsid w:val="00EA5B92"/>
    <w:rsid w:val="00EA5FCF"/>
    <w:rsid w:val="00EB003F"/>
    <w:rsid w:val="00EB04E1"/>
    <w:rsid w:val="00EB0F6C"/>
    <w:rsid w:val="00EB106F"/>
    <w:rsid w:val="00EB1074"/>
    <w:rsid w:val="00EB1277"/>
    <w:rsid w:val="00EB3C54"/>
    <w:rsid w:val="00EB5CBD"/>
    <w:rsid w:val="00EB7B37"/>
    <w:rsid w:val="00EB7C9A"/>
    <w:rsid w:val="00EC0A4E"/>
    <w:rsid w:val="00EC1200"/>
    <w:rsid w:val="00EC3204"/>
    <w:rsid w:val="00EC33E7"/>
    <w:rsid w:val="00EC33F8"/>
    <w:rsid w:val="00EC3EE2"/>
    <w:rsid w:val="00EC4056"/>
    <w:rsid w:val="00EC4340"/>
    <w:rsid w:val="00EC44E1"/>
    <w:rsid w:val="00EC4EBD"/>
    <w:rsid w:val="00EC65CE"/>
    <w:rsid w:val="00EC65F9"/>
    <w:rsid w:val="00EC78CA"/>
    <w:rsid w:val="00ED053F"/>
    <w:rsid w:val="00ED05BA"/>
    <w:rsid w:val="00ED0DCB"/>
    <w:rsid w:val="00ED10A1"/>
    <w:rsid w:val="00ED11A0"/>
    <w:rsid w:val="00ED1240"/>
    <w:rsid w:val="00ED1DAA"/>
    <w:rsid w:val="00ED2004"/>
    <w:rsid w:val="00ED22A7"/>
    <w:rsid w:val="00ED2645"/>
    <w:rsid w:val="00ED3F17"/>
    <w:rsid w:val="00ED4091"/>
    <w:rsid w:val="00ED4C26"/>
    <w:rsid w:val="00ED6870"/>
    <w:rsid w:val="00ED69CA"/>
    <w:rsid w:val="00ED7DFD"/>
    <w:rsid w:val="00EE1444"/>
    <w:rsid w:val="00EE20FF"/>
    <w:rsid w:val="00EE368C"/>
    <w:rsid w:val="00EE53A9"/>
    <w:rsid w:val="00EE5A54"/>
    <w:rsid w:val="00EE677E"/>
    <w:rsid w:val="00EE6B49"/>
    <w:rsid w:val="00EF07E2"/>
    <w:rsid w:val="00EF1C25"/>
    <w:rsid w:val="00EF1CD2"/>
    <w:rsid w:val="00EF1D06"/>
    <w:rsid w:val="00EF24D6"/>
    <w:rsid w:val="00EF37B5"/>
    <w:rsid w:val="00EF3800"/>
    <w:rsid w:val="00EF3D4B"/>
    <w:rsid w:val="00EF4159"/>
    <w:rsid w:val="00EF4198"/>
    <w:rsid w:val="00EF45E5"/>
    <w:rsid w:val="00EF50A8"/>
    <w:rsid w:val="00EF5A37"/>
    <w:rsid w:val="00EF5EE1"/>
    <w:rsid w:val="00EF6039"/>
    <w:rsid w:val="00EF68DC"/>
    <w:rsid w:val="00EF6BDC"/>
    <w:rsid w:val="00EF6C63"/>
    <w:rsid w:val="00EF7A90"/>
    <w:rsid w:val="00F00832"/>
    <w:rsid w:val="00F00F29"/>
    <w:rsid w:val="00F01340"/>
    <w:rsid w:val="00F015B3"/>
    <w:rsid w:val="00F0163B"/>
    <w:rsid w:val="00F01731"/>
    <w:rsid w:val="00F0178E"/>
    <w:rsid w:val="00F01CF9"/>
    <w:rsid w:val="00F024C4"/>
    <w:rsid w:val="00F02EC0"/>
    <w:rsid w:val="00F02F90"/>
    <w:rsid w:val="00F04589"/>
    <w:rsid w:val="00F046C8"/>
    <w:rsid w:val="00F047D7"/>
    <w:rsid w:val="00F04E86"/>
    <w:rsid w:val="00F06211"/>
    <w:rsid w:val="00F064C1"/>
    <w:rsid w:val="00F0696B"/>
    <w:rsid w:val="00F07596"/>
    <w:rsid w:val="00F10E9F"/>
    <w:rsid w:val="00F1197C"/>
    <w:rsid w:val="00F12D4D"/>
    <w:rsid w:val="00F14305"/>
    <w:rsid w:val="00F14750"/>
    <w:rsid w:val="00F15B01"/>
    <w:rsid w:val="00F16517"/>
    <w:rsid w:val="00F16618"/>
    <w:rsid w:val="00F20A8E"/>
    <w:rsid w:val="00F21ABF"/>
    <w:rsid w:val="00F22820"/>
    <w:rsid w:val="00F22DD0"/>
    <w:rsid w:val="00F23884"/>
    <w:rsid w:val="00F2391C"/>
    <w:rsid w:val="00F23921"/>
    <w:rsid w:val="00F23CBC"/>
    <w:rsid w:val="00F25E64"/>
    <w:rsid w:val="00F268DD"/>
    <w:rsid w:val="00F273D0"/>
    <w:rsid w:val="00F30011"/>
    <w:rsid w:val="00F30EA8"/>
    <w:rsid w:val="00F31040"/>
    <w:rsid w:val="00F319DB"/>
    <w:rsid w:val="00F323CF"/>
    <w:rsid w:val="00F32C78"/>
    <w:rsid w:val="00F330EC"/>
    <w:rsid w:val="00F33467"/>
    <w:rsid w:val="00F3376F"/>
    <w:rsid w:val="00F3504D"/>
    <w:rsid w:val="00F35188"/>
    <w:rsid w:val="00F356F1"/>
    <w:rsid w:val="00F35F15"/>
    <w:rsid w:val="00F3617F"/>
    <w:rsid w:val="00F363E6"/>
    <w:rsid w:val="00F3716C"/>
    <w:rsid w:val="00F37370"/>
    <w:rsid w:val="00F40EB8"/>
    <w:rsid w:val="00F42CB4"/>
    <w:rsid w:val="00F42E9C"/>
    <w:rsid w:val="00F43122"/>
    <w:rsid w:val="00F43A22"/>
    <w:rsid w:val="00F43A92"/>
    <w:rsid w:val="00F44EFB"/>
    <w:rsid w:val="00F45384"/>
    <w:rsid w:val="00F45C6D"/>
    <w:rsid w:val="00F46447"/>
    <w:rsid w:val="00F464A9"/>
    <w:rsid w:val="00F46973"/>
    <w:rsid w:val="00F46AC8"/>
    <w:rsid w:val="00F470B3"/>
    <w:rsid w:val="00F47AA5"/>
    <w:rsid w:val="00F50826"/>
    <w:rsid w:val="00F5242E"/>
    <w:rsid w:val="00F532DF"/>
    <w:rsid w:val="00F53763"/>
    <w:rsid w:val="00F53E62"/>
    <w:rsid w:val="00F54E10"/>
    <w:rsid w:val="00F54E1C"/>
    <w:rsid w:val="00F553C6"/>
    <w:rsid w:val="00F55ED6"/>
    <w:rsid w:val="00F56425"/>
    <w:rsid w:val="00F57D09"/>
    <w:rsid w:val="00F602C9"/>
    <w:rsid w:val="00F60E68"/>
    <w:rsid w:val="00F613F1"/>
    <w:rsid w:val="00F629EA"/>
    <w:rsid w:val="00F63C5E"/>
    <w:rsid w:val="00F64C6A"/>
    <w:rsid w:val="00F6550F"/>
    <w:rsid w:val="00F656C9"/>
    <w:rsid w:val="00F65CA3"/>
    <w:rsid w:val="00F66183"/>
    <w:rsid w:val="00F661B1"/>
    <w:rsid w:val="00F6728C"/>
    <w:rsid w:val="00F67512"/>
    <w:rsid w:val="00F67CD2"/>
    <w:rsid w:val="00F67F0C"/>
    <w:rsid w:val="00F7195C"/>
    <w:rsid w:val="00F71B5B"/>
    <w:rsid w:val="00F72468"/>
    <w:rsid w:val="00F73E03"/>
    <w:rsid w:val="00F74090"/>
    <w:rsid w:val="00F75009"/>
    <w:rsid w:val="00F75317"/>
    <w:rsid w:val="00F754FD"/>
    <w:rsid w:val="00F75A92"/>
    <w:rsid w:val="00F76F14"/>
    <w:rsid w:val="00F804C1"/>
    <w:rsid w:val="00F81BA8"/>
    <w:rsid w:val="00F821B8"/>
    <w:rsid w:val="00F82EE2"/>
    <w:rsid w:val="00F83565"/>
    <w:rsid w:val="00F83B55"/>
    <w:rsid w:val="00F83E26"/>
    <w:rsid w:val="00F83F02"/>
    <w:rsid w:val="00F84BD1"/>
    <w:rsid w:val="00F855EC"/>
    <w:rsid w:val="00F85706"/>
    <w:rsid w:val="00F858AD"/>
    <w:rsid w:val="00F859BA"/>
    <w:rsid w:val="00F8679F"/>
    <w:rsid w:val="00F8681E"/>
    <w:rsid w:val="00F868FE"/>
    <w:rsid w:val="00F878A3"/>
    <w:rsid w:val="00F87D1D"/>
    <w:rsid w:val="00F919C2"/>
    <w:rsid w:val="00F92064"/>
    <w:rsid w:val="00F92859"/>
    <w:rsid w:val="00F93576"/>
    <w:rsid w:val="00F940B1"/>
    <w:rsid w:val="00F9490A"/>
    <w:rsid w:val="00F94A99"/>
    <w:rsid w:val="00F94CEA"/>
    <w:rsid w:val="00F951DF"/>
    <w:rsid w:val="00F95787"/>
    <w:rsid w:val="00F95FCF"/>
    <w:rsid w:val="00F966C4"/>
    <w:rsid w:val="00F9778F"/>
    <w:rsid w:val="00F97B1F"/>
    <w:rsid w:val="00FA04E9"/>
    <w:rsid w:val="00FA0B73"/>
    <w:rsid w:val="00FA209B"/>
    <w:rsid w:val="00FA2A76"/>
    <w:rsid w:val="00FA520A"/>
    <w:rsid w:val="00FA5844"/>
    <w:rsid w:val="00FA63E9"/>
    <w:rsid w:val="00FA7E83"/>
    <w:rsid w:val="00FA7F47"/>
    <w:rsid w:val="00FB0315"/>
    <w:rsid w:val="00FB0EC9"/>
    <w:rsid w:val="00FB10D9"/>
    <w:rsid w:val="00FB136D"/>
    <w:rsid w:val="00FB1DE4"/>
    <w:rsid w:val="00FB25F6"/>
    <w:rsid w:val="00FB4197"/>
    <w:rsid w:val="00FB4E10"/>
    <w:rsid w:val="00FB5334"/>
    <w:rsid w:val="00FB5567"/>
    <w:rsid w:val="00FB6A3E"/>
    <w:rsid w:val="00FB714A"/>
    <w:rsid w:val="00FB74B6"/>
    <w:rsid w:val="00FB74C9"/>
    <w:rsid w:val="00FB7928"/>
    <w:rsid w:val="00FB7DE0"/>
    <w:rsid w:val="00FC109C"/>
    <w:rsid w:val="00FC1C91"/>
    <w:rsid w:val="00FC1C98"/>
    <w:rsid w:val="00FC1E96"/>
    <w:rsid w:val="00FC23FC"/>
    <w:rsid w:val="00FC28D5"/>
    <w:rsid w:val="00FC2B6D"/>
    <w:rsid w:val="00FC3A9A"/>
    <w:rsid w:val="00FC3B26"/>
    <w:rsid w:val="00FC3D82"/>
    <w:rsid w:val="00FC4B9E"/>
    <w:rsid w:val="00FC5BD9"/>
    <w:rsid w:val="00FC79AA"/>
    <w:rsid w:val="00FC7F25"/>
    <w:rsid w:val="00FD0355"/>
    <w:rsid w:val="00FD0393"/>
    <w:rsid w:val="00FD0722"/>
    <w:rsid w:val="00FD0BB2"/>
    <w:rsid w:val="00FD10A0"/>
    <w:rsid w:val="00FD1239"/>
    <w:rsid w:val="00FD1D83"/>
    <w:rsid w:val="00FD2AED"/>
    <w:rsid w:val="00FD32E6"/>
    <w:rsid w:val="00FD4A47"/>
    <w:rsid w:val="00FD519A"/>
    <w:rsid w:val="00FD5416"/>
    <w:rsid w:val="00FD569B"/>
    <w:rsid w:val="00FD5D6B"/>
    <w:rsid w:val="00FD61F2"/>
    <w:rsid w:val="00FD6A38"/>
    <w:rsid w:val="00FD7491"/>
    <w:rsid w:val="00FD7735"/>
    <w:rsid w:val="00FE0116"/>
    <w:rsid w:val="00FE04F3"/>
    <w:rsid w:val="00FE145E"/>
    <w:rsid w:val="00FE16EB"/>
    <w:rsid w:val="00FE1DFF"/>
    <w:rsid w:val="00FE3044"/>
    <w:rsid w:val="00FE3054"/>
    <w:rsid w:val="00FE36F6"/>
    <w:rsid w:val="00FE37C0"/>
    <w:rsid w:val="00FE4FD7"/>
    <w:rsid w:val="00FE51C8"/>
    <w:rsid w:val="00FE6812"/>
    <w:rsid w:val="00FE6D6B"/>
    <w:rsid w:val="00FE7E20"/>
    <w:rsid w:val="00FF0581"/>
    <w:rsid w:val="00FF0B89"/>
    <w:rsid w:val="00FF1917"/>
    <w:rsid w:val="00FF1B56"/>
    <w:rsid w:val="00FF2106"/>
    <w:rsid w:val="00FF2213"/>
    <w:rsid w:val="00FF384D"/>
    <w:rsid w:val="00FF38E9"/>
    <w:rsid w:val="00FF39E6"/>
    <w:rsid w:val="00FF4426"/>
    <w:rsid w:val="00FF45AF"/>
    <w:rsid w:val="00FF4F70"/>
    <w:rsid w:val="00FF543A"/>
    <w:rsid w:val="00FF589F"/>
    <w:rsid w:val="00FF6994"/>
    <w:rsid w:val="00FF69ED"/>
    <w:rsid w:val="00FF6FAF"/>
    <w:rsid w:val="00FF70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semiHidden/>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 w:type="character" w:styleId="af5">
    <w:name w:val="annotation reference"/>
    <w:basedOn w:val="a0"/>
    <w:uiPriority w:val="99"/>
    <w:semiHidden/>
    <w:unhideWhenUsed/>
    <w:rsid w:val="00225B3D"/>
    <w:rPr>
      <w:sz w:val="16"/>
      <w:szCs w:val="16"/>
    </w:rPr>
  </w:style>
  <w:style w:type="paragraph" w:styleId="af6">
    <w:name w:val="annotation text"/>
    <w:basedOn w:val="a"/>
    <w:link w:val="af7"/>
    <w:uiPriority w:val="99"/>
    <w:semiHidden/>
    <w:unhideWhenUsed/>
    <w:rsid w:val="00225B3D"/>
    <w:rPr>
      <w:sz w:val="20"/>
      <w:szCs w:val="20"/>
    </w:rPr>
  </w:style>
  <w:style w:type="character" w:customStyle="1" w:styleId="af7">
    <w:name w:val="Текст примечания Знак"/>
    <w:basedOn w:val="a0"/>
    <w:link w:val="af6"/>
    <w:uiPriority w:val="99"/>
    <w:semiHidden/>
    <w:rsid w:val="00225B3D"/>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25B3D"/>
    <w:rPr>
      <w:b/>
      <w:bCs/>
    </w:rPr>
  </w:style>
  <w:style w:type="character" w:customStyle="1" w:styleId="af9">
    <w:name w:val="Тема примечания Знак"/>
    <w:basedOn w:val="af7"/>
    <w:link w:val="af8"/>
    <w:uiPriority w:val="99"/>
    <w:semiHidden/>
    <w:rsid w:val="00225B3D"/>
    <w:rPr>
      <w:rFonts w:ascii="Times New Roman" w:eastAsia="Times New Roman" w:hAnsi="Times New Roman" w:cs="Times New Roman"/>
      <w:b/>
      <w:bCs/>
      <w:sz w:val="20"/>
      <w:szCs w:val="20"/>
      <w:lang w:eastAsia="ru-RU"/>
    </w:rPr>
  </w:style>
  <w:style w:type="paragraph" w:customStyle="1" w:styleId="ConsDTNormal">
    <w:name w:val="ConsDTNormal"/>
    <w:uiPriority w:val="99"/>
    <w:rsid w:val="00F470B3"/>
    <w:pPr>
      <w:autoSpaceDE w:val="0"/>
      <w:autoSpaceDN w:val="0"/>
      <w:adjustRightInd w:val="0"/>
      <w:spacing w:after="0"/>
    </w:pPr>
    <w:rPr>
      <w:rFonts w:ascii="Times New Roman" w:eastAsia="Times New Roman" w:hAnsi="Times New Roman" w:cs="Times New Roman"/>
      <w:sz w:val="24"/>
      <w:szCs w:val="24"/>
      <w:lang w:eastAsia="ru-RU"/>
    </w:rPr>
  </w:style>
  <w:style w:type="paragraph" w:customStyle="1" w:styleId="ConsNormal">
    <w:name w:val="ConsNormal"/>
    <w:rsid w:val="00F470B3"/>
    <w:pPr>
      <w:autoSpaceDE w:val="0"/>
      <w:autoSpaceDN w:val="0"/>
      <w:adjustRightInd w:val="0"/>
      <w:spacing w:after="0"/>
    </w:pPr>
    <w:rPr>
      <w:rFonts w:ascii="Courier New" w:eastAsia="Times New Roman" w:hAnsi="Courier New" w:cs="Courier New"/>
      <w:sz w:val="20"/>
      <w:szCs w:val="20"/>
      <w:lang w:eastAsia="ru-RU"/>
    </w:rPr>
  </w:style>
  <w:style w:type="paragraph" w:customStyle="1" w:styleId="ConsPlusNormal">
    <w:name w:val="ConsPlusNormal"/>
    <w:rsid w:val="00D82791"/>
    <w:pPr>
      <w:widowControl w:val="0"/>
      <w:autoSpaceDE w:val="0"/>
      <w:autoSpaceDN w:val="0"/>
      <w:spacing w:after="0"/>
      <w:jc w:val="left"/>
    </w:pPr>
    <w:rPr>
      <w:rFonts w:ascii="Calibri" w:eastAsia="Times New Roman" w:hAnsi="Calibri" w:cs="Calibri"/>
      <w:szCs w:val="20"/>
      <w:lang w:eastAsia="ru-RU"/>
    </w:rPr>
  </w:style>
  <w:style w:type="paragraph" w:styleId="afa">
    <w:name w:val="Plain Text"/>
    <w:basedOn w:val="a"/>
    <w:link w:val="afb"/>
    <w:uiPriority w:val="99"/>
    <w:semiHidden/>
    <w:unhideWhenUsed/>
    <w:rsid w:val="00FD1D83"/>
    <w:rPr>
      <w:rFonts w:ascii="Calibri" w:eastAsiaTheme="minorHAnsi" w:hAnsi="Calibri" w:cstheme="minorBidi"/>
      <w:sz w:val="22"/>
      <w:szCs w:val="21"/>
      <w:lang w:eastAsia="en-US"/>
    </w:rPr>
  </w:style>
  <w:style w:type="character" w:customStyle="1" w:styleId="afb">
    <w:name w:val="Текст Знак"/>
    <w:basedOn w:val="a0"/>
    <w:link w:val="afa"/>
    <w:uiPriority w:val="99"/>
    <w:semiHidden/>
    <w:rsid w:val="00FD1D83"/>
    <w:rPr>
      <w:rFonts w:ascii="Calibri" w:hAnsi="Calibri" w:cstheme="minorBidi"/>
      <w:szCs w:val="21"/>
    </w:rPr>
  </w:style>
</w:styles>
</file>

<file path=word/webSettings.xml><?xml version="1.0" encoding="utf-8"?>
<w:webSettings xmlns:r="http://schemas.openxmlformats.org/officeDocument/2006/relationships" xmlns:w="http://schemas.openxmlformats.org/wordprocessingml/2006/main">
  <w:divs>
    <w:div w:id="43452386">
      <w:bodyDiv w:val="1"/>
      <w:marLeft w:val="0"/>
      <w:marRight w:val="0"/>
      <w:marTop w:val="0"/>
      <w:marBottom w:val="0"/>
      <w:divBdr>
        <w:top w:val="none" w:sz="0" w:space="0" w:color="auto"/>
        <w:left w:val="none" w:sz="0" w:space="0" w:color="auto"/>
        <w:bottom w:val="none" w:sz="0" w:space="0" w:color="auto"/>
        <w:right w:val="none" w:sz="0" w:space="0" w:color="auto"/>
      </w:divBdr>
    </w:div>
    <w:div w:id="55008578">
      <w:bodyDiv w:val="1"/>
      <w:marLeft w:val="0"/>
      <w:marRight w:val="0"/>
      <w:marTop w:val="0"/>
      <w:marBottom w:val="0"/>
      <w:divBdr>
        <w:top w:val="none" w:sz="0" w:space="0" w:color="auto"/>
        <w:left w:val="none" w:sz="0" w:space="0" w:color="auto"/>
        <w:bottom w:val="none" w:sz="0" w:space="0" w:color="auto"/>
        <w:right w:val="none" w:sz="0" w:space="0" w:color="auto"/>
      </w:divBdr>
    </w:div>
    <w:div w:id="76480794">
      <w:bodyDiv w:val="1"/>
      <w:marLeft w:val="0"/>
      <w:marRight w:val="0"/>
      <w:marTop w:val="0"/>
      <w:marBottom w:val="0"/>
      <w:divBdr>
        <w:top w:val="none" w:sz="0" w:space="0" w:color="auto"/>
        <w:left w:val="none" w:sz="0" w:space="0" w:color="auto"/>
        <w:bottom w:val="none" w:sz="0" w:space="0" w:color="auto"/>
        <w:right w:val="none" w:sz="0" w:space="0" w:color="auto"/>
      </w:divBdr>
    </w:div>
    <w:div w:id="78143581">
      <w:bodyDiv w:val="1"/>
      <w:marLeft w:val="0"/>
      <w:marRight w:val="0"/>
      <w:marTop w:val="0"/>
      <w:marBottom w:val="0"/>
      <w:divBdr>
        <w:top w:val="none" w:sz="0" w:space="0" w:color="auto"/>
        <w:left w:val="none" w:sz="0" w:space="0" w:color="auto"/>
        <w:bottom w:val="none" w:sz="0" w:space="0" w:color="auto"/>
        <w:right w:val="none" w:sz="0" w:space="0" w:color="auto"/>
      </w:divBdr>
    </w:div>
    <w:div w:id="88435211">
      <w:bodyDiv w:val="1"/>
      <w:marLeft w:val="0"/>
      <w:marRight w:val="0"/>
      <w:marTop w:val="0"/>
      <w:marBottom w:val="0"/>
      <w:divBdr>
        <w:top w:val="none" w:sz="0" w:space="0" w:color="auto"/>
        <w:left w:val="none" w:sz="0" w:space="0" w:color="auto"/>
        <w:bottom w:val="none" w:sz="0" w:space="0" w:color="auto"/>
        <w:right w:val="none" w:sz="0" w:space="0" w:color="auto"/>
      </w:divBdr>
    </w:div>
    <w:div w:id="101652006">
      <w:bodyDiv w:val="1"/>
      <w:marLeft w:val="0"/>
      <w:marRight w:val="0"/>
      <w:marTop w:val="0"/>
      <w:marBottom w:val="0"/>
      <w:divBdr>
        <w:top w:val="none" w:sz="0" w:space="0" w:color="auto"/>
        <w:left w:val="none" w:sz="0" w:space="0" w:color="auto"/>
        <w:bottom w:val="none" w:sz="0" w:space="0" w:color="auto"/>
        <w:right w:val="none" w:sz="0" w:space="0" w:color="auto"/>
      </w:divBdr>
    </w:div>
    <w:div w:id="122309211">
      <w:bodyDiv w:val="1"/>
      <w:marLeft w:val="0"/>
      <w:marRight w:val="0"/>
      <w:marTop w:val="0"/>
      <w:marBottom w:val="0"/>
      <w:divBdr>
        <w:top w:val="none" w:sz="0" w:space="0" w:color="auto"/>
        <w:left w:val="none" w:sz="0" w:space="0" w:color="auto"/>
        <w:bottom w:val="none" w:sz="0" w:space="0" w:color="auto"/>
        <w:right w:val="none" w:sz="0" w:space="0" w:color="auto"/>
      </w:divBdr>
    </w:div>
    <w:div w:id="123086198">
      <w:bodyDiv w:val="1"/>
      <w:marLeft w:val="0"/>
      <w:marRight w:val="0"/>
      <w:marTop w:val="0"/>
      <w:marBottom w:val="0"/>
      <w:divBdr>
        <w:top w:val="none" w:sz="0" w:space="0" w:color="auto"/>
        <w:left w:val="none" w:sz="0" w:space="0" w:color="auto"/>
        <w:bottom w:val="none" w:sz="0" w:space="0" w:color="auto"/>
        <w:right w:val="none" w:sz="0" w:space="0" w:color="auto"/>
      </w:divBdr>
    </w:div>
    <w:div w:id="132255216">
      <w:bodyDiv w:val="1"/>
      <w:marLeft w:val="0"/>
      <w:marRight w:val="0"/>
      <w:marTop w:val="0"/>
      <w:marBottom w:val="0"/>
      <w:divBdr>
        <w:top w:val="none" w:sz="0" w:space="0" w:color="auto"/>
        <w:left w:val="none" w:sz="0" w:space="0" w:color="auto"/>
        <w:bottom w:val="none" w:sz="0" w:space="0" w:color="auto"/>
        <w:right w:val="none" w:sz="0" w:space="0" w:color="auto"/>
      </w:divBdr>
    </w:div>
    <w:div w:id="177930259">
      <w:bodyDiv w:val="1"/>
      <w:marLeft w:val="0"/>
      <w:marRight w:val="0"/>
      <w:marTop w:val="0"/>
      <w:marBottom w:val="0"/>
      <w:divBdr>
        <w:top w:val="none" w:sz="0" w:space="0" w:color="auto"/>
        <w:left w:val="none" w:sz="0" w:space="0" w:color="auto"/>
        <w:bottom w:val="none" w:sz="0" w:space="0" w:color="auto"/>
        <w:right w:val="none" w:sz="0" w:space="0" w:color="auto"/>
      </w:divBdr>
    </w:div>
    <w:div w:id="200093013">
      <w:bodyDiv w:val="1"/>
      <w:marLeft w:val="0"/>
      <w:marRight w:val="0"/>
      <w:marTop w:val="0"/>
      <w:marBottom w:val="0"/>
      <w:divBdr>
        <w:top w:val="none" w:sz="0" w:space="0" w:color="auto"/>
        <w:left w:val="none" w:sz="0" w:space="0" w:color="auto"/>
        <w:bottom w:val="none" w:sz="0" w:space="0" w:color="auto"/>
        <w:right w:val="none" w:sz="0" w:space="0" w:color="auto"/>
      </w:divBdr>
    </w:div>
    <w:div w:id="216665546">
      <w:bodyDiv w:val="1"/>
      <w:marLeft w:val="0"/>
      <w:marRight w:val="0"/>
      <w:marTop w:val="0"/>
      <w:marBottom w:val="0"/>
      <w:divBdr>
        <w:top w:val="none" w:sz="0" w:space="0" w:color="auto"/>
        <w:left w:val="none" w:sz="0" w:space="0" w:color="auto"/>
        <w:bottom w:val="none" w:sz="0" w:space="0" w:color="auto"/>
        <w:right w:val="none" w:sz="0" w:space="0" w:color="auto"/>
      </w:divBdr>
    </w:div>
    <w:div w:id="229779470">
      <w:bodyDiv w:val="1"/>
      <w:marLeft w:val="0"/>
      <w:marRight w:val="0"/>
      <w:marTop w:val="0"/>
      <w:marBottom w:val="0"/>
      <w:divBdr>
        <w:top w:val="none" w:sz="0" w:space="0" w:color="auto"/>
        <w:left w:val="none" w:sz="0" w:space="0" w:color="auto"/>
        <w:bottom w:val="none" w:sz="0" w:space="0" w:color="auto"/>
        <w:right w:val="none" w:sz="0" w:space="0" w:color="auto"/>
      </w:divBdr>
    </w:div>
    <w:div w:id="269554551">
      <w:bodyDiv w:val="1"/>
      <w:marLeft w:val="0"/>
      <w:marRight w:val="0"/>
      <w:marTop w:val="0"/>
      <w:marBottom w:val="0"/>
      <w:divBdr>
        <w:top w:val="none" w:sz="0" w:space="0" w:color="auto"/>
        <w:left w:val="none" w:sz="0" w:space="0" w:color="auto"/>
        <w:bottom w:val="none" w:sz="0" w:space="0" w:color="auto"/>
        <w:right w:val="none" w:sz="0" w:space="0" w:color="auto"/>
      </w:divBdr>
    </w:div>
    <w:div w:id="272060127">
      <w:bodyDiv w:val="1"/>
      <w:marLeft w:val="0"/>
      <w:marRight w:val="0"/>
      <w:marTop w:val="0"/>
      <w:marBottom w:val="0"/>
      <w:divBdr>
        <w:top w:val="none" w:sz="0" w:space="0" w:color="auto"/>
        <w:left w:val="none" w:sz="0" w:space="0" w:color="auto"/>
        <w:bottom w:val="none" w:sz="0" w:space="0" w:color="auto"/>
        <w:right w:val="none" w:sz="0" w:space="0" w:color="auto"/>
      </w:divBdr>
    </w:div>
    <w:div w:id="284432642">
      <w:bodyDiv w:val="1"/>
      <w:marLeft w:val="0"/>
      <w:marRight w:val="0"/>
      <w:marTop w:val="0"/>
      <w:marBottom w:val="0"/>
      <w:divBdr>
        <w:top w:val="none" w:sz="0" w:space="0" w:color="auto"/>
        <w:left w:val="none" w:sz="0" w:space="0" w:color="auto"/>
        <w:bottom w:val="none" w:sz="0" w:space="0" w:color="auto"/>
        <w:right w:val="none" w:sz="0" w:space="0" w:color="auto"/>
      </w:divBdr>
    </w:div>
    <w:div w:id="293562683">
      <w:bodyDiv w:val="1"/>
      <w:marLeft w:val="0"/>
      <w:marRight w:val="0"/>
      <w:marTop w:val="0"/>
      <w:marBottom w:val="0"/>
      <w:divBdr>
        <w:top w:val="none" w:sz="0" w:space="0" w:color="auto"/>
        <w:left w:val="none" w:sz="0" w:space="0" w:color="auto"/>
        <w:bottom w:val="none" w:sz="0" w:space="0" w:color="auto"/>
        <w:right w:val="none" w:sz="0" w:space="0" w:color="auto"/>
      </w:divBdr>
    </w:div>
    <w:div w:id="297996756">
      <w:bodyDiv w:val="1"/>
      <w:marLeft w:val="0"/>
      <w:marRight w:val="0"/>
      <w:marTop w:val="0"/>
      <w:marBottom w:val="0"/>
      <w:divBdr>
        <w:top w:val="none" w:sz="0" w:space="0" w:color="auto"/>
        <w:left w:val="none" w:sz="0" w:space="0" w:color="auto"/>
        <w:bottom w:val="none" w:sz="0" w:space="0" w:color="auto"/>
        <w:right w:val="none" w:sz="0" w:space="0" w:color="auto"/>
      </w:divBdr>
    </w:div>
    <w:div w:id="332731991">
      <w:bodyDiv w:val="1"/>
      <w:marLeft w:val="0"/>
      <w:marRight w:val="0"/>
      <w:marTop w:val="0"/>
      <w:marBottom w:val="0"/>
      <w:divBdr>
        <w:top w:val="none" w:sz="0" w:space="0" w:color="auto"/>
        <w:left w:val="none" w:sz="0" w:space="0" w:color="auto"/>
        <w:bottom w:val="none" w:sz="0" w:space="0" w:color="auto"/>
        <w:right w:val="none" w:sz="0" w:space="0" w:color="auto"/>
      </w:divBdr>
    </w:div>
    <w:div w:id="361169936">
      <w:bodyDiv w:val="1"/>
      <w:marLeft w:val="0"/>
      <w:marRight w:val="0"/>
      <w:marTop w:val="0"/>
      <w:marBottom w:val="0"/>
      <w:divBdr>
        <w:top w:val="none" w:sz="0" w:space="0" w:color="auto"/>
        <w:left w:val="none" w:sz="0" w:space="0" w:color="auto"/>
        <w:bottom w:val="none" w:sz="0" w:space="0" w:color="auto"/>
        <w:right w:val="none" w:sz="0" w:space="0" w:color="auto"/>
      </w:divBdr>
    </w:div>
    <w:div w:id="442574884">
      <w:bodyDiv w:val="1"/>
      <w:marLeft w:val="0"/>
      <w:marRight w:val="0"/>
      <w:marTop w:val="0"/>
      <w:marBottom w:val="0"/>
      <w:divBdr>
        <w:top w:val="none" w:sz="0" w:space="0" w:color="auto"/>
        <w:left w:val="none" w:sz="0" w:space="0" w:color="auto"/>
        <w:bottom w:val="none" w:sz="0" w:space="0" w:color="auto"/>
        <w:right w:val="none" w:sz="0" w:space="0" w:color="auto"/>
      </w:divBdr>
    </w:div>
    <w:div w:id="449789950">
      <w:bodyDiv w:val="1"/>
      <w:marLeft w:val="0"/>
      <w:marRight w:val="0"/>
      <w:marTop w:val="0"/>
      <w:marBottom w:val="0"/>
      <w:divBdr>
        <w:top w:val="none" w:sz="0" w:space="0" w:color="auto"/>
        <w:left w:val="none" w:sz="0" w:space="0" w:color="auto"/>
        <w:bottom w:val="none" w:sz="0" w:space="0" w:color="auto"/>
        <w:right w:val="none" w:sz="0" w:space="0" w:color="auto"/>
      </w:divBdr>
    </w:div>
    <w:div w:id="498273565">
      <w:bodyDiv w:val="1"/>
      <w:marLeft w:val="0"/>
      <w:marRight w:val="0"/>
      <w:marTop w:val="0"/>
      <w:marBottom w:val="0"/>
      <w:divBdr>
        <w:top w:val="none" w:sz="0" w:space="0" w:color="auto"/>
        <w:left w:val="none" w:sz="0" w:space="0" w:color="auto"/>
        <w:bottom w:val="none" w:sz="0" w:space="0" w:color="auto"/>
        <w:right w:val="none" w:sz="0" w:space="0" w:color="auto"/>
      </w:divBdr>
    </w:div>
    <w:div w:id="514617719">
      <w:bodyDiv w:val="1"/>
      <w:marLeft w:val="0"/>
      <w:marRight w:val="0"/>
      <w:marTop w:val="0"/>
      <w:marBottom w:val="0"/>
      <w:divBdr>
        <w:top w:val="none" w:sz="0" w:space="0" w:color="auto"/>
        <w:left w:val="none" w:sz="0" w:space="0" w:color="auto"/>
        <w:bottom w:val="none" w:sz="0" w:space="0" w:color="auto"/>
        <w:right w:val="none" w:sz="0" w:space="0" w:color="auto"/>
      </w:divBdr>
    </w:div>
    <w:div w:id="565071517">
      <w:bodyDiv w:val="1"/>
      <w:marLeft w:val="0"/>
      <w:marRight w:val="0"/>
      <w:marTop w:val="0"/>
      <w:marBottom w:val="0"/>
      <w:divBdr>
        <w:top w:val="none" w:sz="0" w:space="0" w:color="auto"/>
        <w:left w:val="none" w:sz="0" w:space="0" w:color="auto"/>
        <w:bottom w:val="none" w:sz="0" w:space="0" w:color="auto"/>
        <w:right w:val="none" w:sz="0" w:space="0" w:color="auto"/>
      </w:divBdr>
    </w:div>
    <w:div w:id="575287576">
      <w:bodyDiv w:val="1"/>
      <w:marLeft w:val="0"/>
      <w:marRight w:val="0"/>
      <w:marTop w:val="0"/>
      <w:marBottom w:val="0"/>
      <w:divBdr>
        <w:top w:val="none" w:sz="0" w:space="0" w:color="auto"/>
        <w:left w:val="none" w:sz="0" w:space="0" w:color="auto"/>
        <w:bottom w:val="none" w:sz="0" w:space="0" w:color="auto"/>
        <w:right w:val="none" w:sz="0" w:space="0" w:color="auto"/>
      </w:divBdr>
    </w:div>
    <w:div w:id="578489685">
      <w:bodyDiv w:val="1"/>
      <w:marLeft w:val="0"/>
      <w:marRight w:val="0"/>
      <w:marTop w:val="0"/>
      <w:marBottom w:val="0"/>
      <w:divBdr>
        <w:top w:val="none" w:sz="0" w:space="0" w:color="auto"/>
        <w:left w:val="none" w:sz="0" w:space="0" w:color="auto"/>
        <w:bottom w:val="none" w:sz="0" w:space="0" w:color="auto"/>
        <w:right w:val="none" w:sz="0" w:space="0" w:color="auto"/>
      </w:divBdr>
    </w:div>
    <w:div w:id="580988465">
      <w:bodyDiv w:val="1"/>
      <w:marLeft w:val="0"/>
      <w:marRight w:val="0"/>
      <w:marTop w:val="0"/>
      <w:marBottom w:val="0"/>
      <w:divBdr>
        <w:top w:val="none" w:sz="0" w:space="0" w:color="auto"/>
        <w:left w:val="none" w:sz="0" w:space="0" w:color="auto"/>
        <w:bottom w:val="none" w:sz="0" w:space="0" w:color="auto"/>
        <w:right w:val="none" w:sz="0" w:space="0" w:color="auto"/>
      </w:divBdr>
    </w:div>
    <w:div w:id="590430519">
      <w:bodyDiv w:val="1"/>
      <w:marLeft w:val="0"/>
      <w:marRight w:val="0"/>
      <w:marTop w:val="0"/>
      <w:marBottom w:val="0"/>
      <w:divBdr>
        <w:top w:val="none" w:sz="0" w:space="0" w:color="auto"/>
        <w:left w:val="none" w:sz="0" w:space="0" w:color="auto"/>
        <w:bottom w:val="none" w:sz="0" w:space="0" w:color="auto"/>
        <w:right w:val="none" w:sz="0" w:space="0" w:color="auto"/>
      </w:divBdr>
    </w:div>
    <w:div w:id="639312841">
      <w:bodyDiv w:val="1"/>
      <w:marLeft w:val="0"/>
      <w:marRight w:val="0"/>
      <w:marTop w:val="0"/>
      <w:marBottom w:val="0"/>
      <w:divBdr>
        <w:top w:val="none" w:sz="0" w:space="0" w:color="auto"/>
        <w:left w:val="none" w:sz="0" w:space="0" w:color="auto"/>
        <w:bottom w:val="none" w:sz="0" w:space="0" w:color="auto"/>
        <w:right w:val="none" w:sz="0" w:space="0" w:color="auto"/>
      </w:divBdr>
    </w:div>
    <w:div w:id="655229162">
      <w:bodyDiv w:val="1"/>
      <w:marLeft w:val="0"/>
      <w:marRight w:val="0"/>
      <w:marTop w:val="0"/>
      <w:marBottom w:val="0"/>
      <w:divBdr>
        <w:top w:val="none" w:sz="0" w:space="0" w:color="auto"/>
        <w:left w:val="none" w:sz="0" w:space="0" w:color="auto"/>
        <w:bottom w:val="none" w:sz="0" w:space="0" w:color="auto"/>
        <w:right w:val="none" w:sz="0" w:space="0" w:color="auto"/>
      </w:divBdr>
    </w:div>
    <w:div w:id="666322313">
      <w:bodyDiv w:val="1"/>
      <w:marLeft w:val="0"/>
      <w:marRight w:val="0"/>
      <w:marTop w:val="0"/>
      <w:marBottom w:val="0"/>
      <w:divBdr>
        <w:top w:val="none" w:sz="0" w:space="0" w:color="auto"/>
        <w:left w:val="none" w:sz="0" w:space="0" w:color="auto"/>
        <w:bottom w:val="none" w:sz="0" w:space="0" w:color="auto"/>
        <w:right w:val="none" w:sz="0" w:space="0" w:color="auto"/>
      </w:divBdr>
    </w:div>
    <w:div w:id="725304455">
      <w:bodyDiv w:val="1"/>
      <w:marLeft w:val="0"/>
      <w:marRight w:val="0"/>
      <w:marTop w:val="0"/>
      <w:marBottom w:val="0"/>
      <w:divBdr>
        <w:top w:val="none" w:sz="0" w:space="0" w:color="auto"/>
        <w:left w:val="none" w:sz="0" w:space="0" w:color="auto"/>
        <w:bottom w:val="none" w:sz="0" w:space="0" w:color="auto"/>
        <w:right w:val="none" w:sz="0" w:space="0" w:color="auto"/>
      </w:divBdr>
    </w:div>
    <w:div w:id="739788815">
      <w:bodyDiv w:val="1"/>
      <w:marLeft w:val="0"/>
      <w:marRight w:val="0"/>
      <w:marTop w:val="0"/>
      <w:marBottom w:val="0"/>
      <w:divBdr>
        <w:top w:val="none" w:sz="0" w:space="0" w:color="auto"/>
        <w:left w:val="none" w:sz="0" w:space="0" w:color="auto"/>
        <w:bottom w:val="none" w:sz="0" w:space="0" w:color="auto"/>
        <w:right w:val="none" w:sz="0" w:space="0" w:color="auto"/>
      </w:divBdr>
    </w:div>
    <w:div w:id="770276158">
      <w:bodyDiv w:val="1"/>
      <w:marLeft w:val="0"/>
      <w:marRight w:val="0"/>
      <w:marTop w:val="0"/>
      <w:marBottom w:val="0"/>
      <w:divBdr>
        <w:top w:val="none" w:sz="0" w:space="0" w:color="auto"/>
        <w:left w:val="none" w:sz="0" w:space="0" w:color="auto"/>
        <w:bottom w:val="none" w:sz="0" w:space="0" w:color="auto"/>
        <w:right w:val="none" w:sz="0" w:space="0" w:color="auto"/>
      </w:divBdr>
    </w:div>
    <w:div w:id="783502695">
      <w:bodyDiv w:val="1"/>
      <w:marLeft w:val="0"/>
      <w:marRight w:val="0"/>
      <w:marTop w:val="0"/>
      <w:marBottom w:val="0"/>
      <w:divBdr>
        <w:top w:val="none" w:sz="0" w:space="0" w:color="auto"/>
        <w:left w:val="none" w:sz="0" w:space="0" w:color="auto"/>
        <w:bottom w:val="none" w:sz="0" w:space="0" w:color="auto"/>
        <w:right w:val="none" w:sz="0" w:space="0" w:color="auto"/>
      </w:divBdr>
    </w:div>
    <w:div w:id="815798368">
      <w:bodyDiv w:val="1"/>
      <w:marLeft w:val="0"/>
      <w:marRight w:val="0"/>
      <w:marTop w:val="0"/>
      <w:marBottom w:val="0"/>
      <w:divBdr>
        <w:top w:val="none" w:sz="0" w:space="0" w:color="auto"/>
        <w:left w:val="none" w:sz="0" w:space="0" w:color="auto"/>
        <w:bottom w:val="none" w:sz="0" w:space="0" w:color="auto"/>
        <w:right w:val="none" w:sz="0" w:space="0" w:color="auto"/>
      </w:divBdr>
    </w:div>
    <w:div w:id="821585533">
      <w:bodyDiv w:val="1"/>
      <w:marLeft w:val="0"/>
      <w:marRight w:val="0"/>
      <w:marTop w:val="0"/>
      <w:marBottom w:val="0"/>
      <w:divBdr>
        <w:top w:val="none" w:sz="0" w:space="0" w:color="auto"/>
        <w:left w:val="none" w:sz="0" w:space="0" w:color="auto"/>
        <w:bottom w:val="none" w:sz="0" w:space="0" w:color="auto"/>
        <w:right w:val="none" w:sz="0" w:space="0" w:color="auto"/>
      </w:divBdr>
    </w:div>
    <w:div w:id="841236906">
      <w:bodyDiv w:val="1"/>
      <w:marLeft w:val="0"/>
      <w:marRight w:val="0"/>
      <w:marTop w:val="0"/>
      <w:marBottom w:val="0"/>
      <w:divBdr>
        <w:top w:val="none" w:sz="0" w:space="0" w:color="auto"/>
        <w:left w:val="none" w:sz="0" w:space="0" w:color="auto"/>
        <w:bottom w:val="none" w:sz="0" w:space="0" w:color="auto"/>
        <w:right w:val="none" w:sz="0" w:space="0" w:color="auto"/>
      </w:divBdr>
    </w:div>
    <w:div w:id="878972660">
      <w:bodyDiv w:val="1"/>
      <w:marLeft w:val="0"/>
      <w:marRight w:val="0"/>
      <w:marTop w:val="0"/>
      <w:marBottom w:val="0"/>
      <w:divBdr>
        <w:top w:val="none" w:sz="0" w:space="0" w:color="auto"/>
        <w:left w:val="none" w:sz="0" w:space="0" w:color="auto"/>
        <w:bottom w:val="none" w:sz="0" w:space="0" w:color="auto"/>
        <w:right w:val="none" w:sz="0" w:space="0" w:color="auto"/>
      </w:divBdr>
    </w:div>
    <w:div w:id="901135756">
      <w:bodyDiv w:val="1"/>
      <w:marLeft w:val="0"/>
      <w:marRight w:val="0"/>
      <w:marTop w:val="0"/>
      <w:marBottom w:val="0"/>
      <w:divBdr>
        <w:top w:val="none" w:sz="0" w:space="0" w:color="auto"/>
        <w:left w:val="none" w:sz="0" w:space="0" w:color="auto"/>
        <w:bottom w:val="none" w:sz="0" w:space="0" w:color="auto"/>
        <w:right w:val="none" w:sz="0" w:space="0" w:color="auto"/>
      </w:divBdr>
    </w:div>
    <w:div w:id="924536892">
      <w:bodyDiv w:val="1"/>
      <w:marLeft w:val="0"/>
      <w:marRight w:val="0"/>
      <w:marTop w:val="0"/>
      <w:marBottom w:val="0"/>
      <w:divBdr>
        <w:top w:val="none" w:sz="0" w:space="0" w:color="auto"/>
        <w:left w:val="none" w:sz="0" w:space="0" w:color="auto"/>
        <w:bottom w:val="none" w:sz="0" w:space="0" w:color="auto"/>
        <w:right w:val="none" w:sz="0" w:space="0" w:color="auto"/>
      </w:divBdr>
    </w:div>
    <w:div w:id="927881119">
      <w:bodyDiv w:val="1"/>
      <w:marLeft w:val="0"/>
      <w:marRight w:val="0"/>
      <w:marTop w:val="0"/>
      <w:marBottom w:val="0"/>
      <w:divBdr>
        <w:top w:val="none" w:sz="0" w:space="0" w:color="auto"/>
        <w:left w:val="none" w:sz="0" w:space="0" w:color="auto"/>
        <w:bottom w:val="none" w:sz="0" w:space="0" w:color="auto"/>
        <w:right w:val="none" w:sz="0" w:space="0" w:color="auto"/>
      </w:divBdr>
    </w:div>
    <w:div w:id="946502440">
      <w:bodyDiv w:val="1"/>
      <w:marLeft w:val="0"/>
      <w:marRight w:val="0"/>
      <w:marTop w:val="0"/>
      <w:marBottom w:val="0"/>
      <w:divBdr>
        <w:top w:val="none" w:sz="0" w:space="0" w:color="auto"/>
        <w:left w:val="none" w:sz="0" w:space="0" w:color="auto"/>
        <w:bottom w:val="none" w:sz="0" w:space="0" w:color="auto"/>
        <w:right w:val="none" w:sz="0" w:space="0" w:color="auto"/>
      </w:divBdr>
    </w:div>
    <w:div w:id="968432532">
      <w:bodyDiv w:val="1"/>
      <w:marLeft w:val="0"/>
      <w:marRight w:val="0"/>
      <w:marTop w:val="0"/>
      <w:marBottom w:val="0"/>
      <w:divBdr>
        <w:top w:val="none" w:sz="0" w:space="0" w:color="auto"/>
        <w:left w:val="none" w:sz="0" w:space="0" w:color="auto"/>
        <w:bottom w:val="none" w:sz="0" w:space="0" w:color="auto"/>
        <w:right w:val="none" w:sz="0" w:space="0" w:color="auto"/>
      </w:divBdr>
    </w:div>
    <w:div w:id="987249091">
      <w:bodyDiv w:val="1"/>
      <w:marLeft w:val="0"/>
      <w:marRight w:val="0"/>
      <w:marTop w:val="0"/>
      <w:marBottom w:val="0"/>
      <w:divBdr>
        <w:top w:val="none" w:sz="0" w:space="0" w:color="auto"/>
        <w:left w:val="none" w:sz="0" w:space="0" w:color="auto"/>
        <w:bottom w:val="none" w:sz="0" w:space="0" w:color="auto"/>
        <w:right w:val="none" w:sz="0" w:space="0" w:color="auto"/>
      </w:divBdr>
    </w:div>
    <w:div w:id="1016227070">
      <w:bodyDiv w:val="1"/>
      <w:marLeft w:val="0"/>
      <w:marRight w:val="0"/>
      <w:marTop w:val="0"/>
      <w:marBottom w:val="0"/>
      <w:divBdr>
        <w:top w:val="none" w:sz="0" w:space="0" w:color="auto"/>
        <w:left w:val="none" w:sz="0" w:space="0" w:color="auto"/>
        <w:bottom w:val="none" w:sz="0" w:space="0" w:color="auto"/>
        <w:right w:val="none" w:sz="0" w:space="0" w:color="auto"/>
      </w:divBdr>
    </w:div>
    <w:div w:id="1044135089">
      <w:bodyDiv w:val="1"/>
      <w:marLeft w:val="0"/>
      <w:marRight w:val="0"/>
      <w:marTop w:val="0"/>
      <w:marBottom w:val="0"/>
      <w:divBdr>
        <w:top w:val="none" w:sz="0" w:space="0" w:color="auto"/>
        <w:left w:val="none" w:sz="0" w:space="0" w:color="auto"/>
        <w:bottom w:val="none" w:sz="0" w:space="0" w:color="auto"/>
        <w:right w:val="none" w:sz="0" w:space="0" w:color="auto"/>
      </w:divBdr>
    </w:div>
    <w:div w:id="1046177014">
      <w:bodyDiv w:val="1"/>
      <w:marLeft w:val="0"/>
      <w:marRight w:val="0"/>
      <w:marTop w:val="0"/>
      <w:marBottom w:val="0"/>
      <w:divBdr>
        <w:top w:val="none" w:sz="0" w:space="0" w:color="auto"/>
        <w:left w:val="none" w:sz="0" w:space="0" w:color="auto"/>
        <w:bottom w:val="none" w:sz="0" w:space="0" w:color="auto"/>
        <w:right w:val="none" w:sz="0" w:space="0" w:color="auto"/>
      </w:divBdr>
    </w:div>
    <w:div w:id="1080176547">
      <w:bodyDiv w:val="1"/>
      <w:marLeft w:val="0"/>
      <w:marRight w:val="0"/>
      <w:marTop w:val="0"/>
      <w:marBottom w:val="0"/>
      <w:divBdr>
        <w:top w:val="none" w:sz="0" w:space="0" w:color="auto"/>
        <w:left w:val="none" w:sz="0" w:space="0" w:color="auto"/>
        <w:bottom w:val="none" w:sz="0" w:space="0" w:color="auto"/>
        <w:right w:val="none" w:sz="0" w:space="0" w:color="auto"/>
      </w:divBdr>
    </w:div>
    <w:div w:id="1129323314">
      <w:bodyDiv w:val="1"/>
      <w:marLeft w:val="0"/>
      <w:marRight w:val="0"/>
      <w:marTop w:val="0"/>
      <w:marBottom w:val="0"/>
      <w:divBdr>
        <w:top w:val="none" w:sz="0" w:space="0" w:color="auto"/>
        <w:left w:val="none" w:sz="0" w:space="0" w:color="auto"/>
        <w:bottom w:val="none" w:sz="0" w:space="0" w:color="auto"/>
        <w:right w:val="none" w:sz="0" w:space="0" w:color="auto"/>
      </w:divBdr>
    </w:div>
    <w:div w:id="1148404003">
      <w:bodyDiv w:val="1"/>
      <w:marLeft w:val="0"/>
      <w:marRight w:val="0"/>
      <w:marTop w:val="0"/>
      <w:marBottom w:val="0"/>
      <w:divBdr>
        <w:top w:val="none" w:sz="0" w:space="0" w:color="auto"/>
        <w:left w:val="none" w:sz="0" w:space="0" w:color="auto"/>
        <w:bottom w:val="none" w:sz="0" w:space="0" w:color="auto"/>
        <w:right w:val="none" w:sz="0" w:space="0" w:color="auto"/>
      </w:divBdr>
    </w:div>
    <w:div w:id="1151099610">
      <w:bodyDiv w:val="1"/>
      <w:marLeft w:val="0"/>
      <w:marRight w:val="0"/>
      <w:marTop w:val="0"/>
      <w:marBottom w:val="0"/>
      <w:divBdr>
        <w:top w:val="none" w:sz="0" w:space="0" w:color="auto"/>
        <w:left w:val="none" w:sz="0" w:space="0" w:color="auto"/>
        <w:bottom w:val="none" w:sz="0" w:space="0" w:color="auto"/>
        <w:right w:val="none" w:sz="0" w:space="0" w:color="auto"/>
      </w:divBdr>
    </w:div>
    <w:div w:id="1158888373">
      <w:bodyDiv w:val="1"/>
      <w:marLeft w:val="0"/>
      <w:marRight w:val="0"/>
      <w:marTop w:val="0"/>
      <w:marBottom w:val="0"/>
      <w:divBdr>
        <w:top w:val="none" w:sz="0" w:space="0" w:color="auto"/>
        <w:left w:val="none" w:sz="0" w:space="0" w:color="auto"/>
        <w:bottom w:val="none" w:sz="0" w:space="0" w:color="auto"/>
        <w:right w:val="none" w:sz="0" w:space="0" w:color="auto"/>
      </w:divBdr>
    </w:div>
    <w:div w:id="1189836027">
      <w:bodyDiv w:val="1"/>
      <w:marLeft w:val="0"/>
      <w:marRight w:val="0"/>
      <w:marTop w:val="0"/>
      <w:marBottom w:val="0"/>
      <w:divBdr>
        <w:top w:val="none" w:sz="0" w:space="0" w:color="auto"/>
        <w:left w:val="none" w:sz="0" w:space="0" w:color="auto"/>
        <w:bottom w:val="none" w:sz="0" w:space="0" w:color="auto"/>
        <w:right w:val="none" w:sz="0" w:space="0" w:color="auto"/>
      </w:divBdr>
    </w:div>
    <w:div w:id="1199243899">
      <w:bodyDiv w:val="1"/>
      <w:marLeft w:val="0"/>
      <w:marRight w:val="0"/>
      <w:marTop w:val="0"/>
      <w:marBottom w:val="0"/>
      <w:divBdr>
        <w:top w:val="none" w:sz="0" w:space="0" w:color="auto"/>
        <w:left w:val="none" w:sz="0" w:space="0" w:color="auto"/>
        <w:bottom w:val="none" w:sz="0" w:space="0" w:color="auto"/>
        <w:right w:val="none" w:sz="0" w:space="0" w:color="auto"/>
      </w:divBdr>
    </w:div>
    <w:div w:id="1204488740">
      <w:bodyDiv w:val="1"/>
      <w:marLeft w:val="0"/>
      <w:marRight w:val="0"/>
      <w:marTop w:val="0"/>
      <w:marBottom w:val="0"/>
      <w:divBdr>
        <w:top w:val="none" w:sz="0" w:space="0" w:color="auto"/>
        <w:left w:val="none" w:sz="0" w:space="0" w:color="auto"/>
        <w:bottom w:val="none" w:sz="0" w:space="0" w:color="auto"/>
        <w:right w:val="none" w:sz="0" w:space="0" w:color="auto"/>
      </w:divBdr>
    </w:div>
    <w:div w:id="1244410686">
      <w:bodyDiv w:val="1"/>
      <w:marLeft w:val="0"/>
      <w:marRight w:val="0"/>
      <w:marTop w:val="0"/>
      <w:marBottom w:val="0"/>
      <w:divBdr>
        <w:top w:val="none" w:sz="0" w:space="0" w:color="auto"/>
        <w:left w:val="none" w:sz="0" w:space="0" w:color="auto"/>
        <w:bottom w:val="none" w:sz="0" w:space="0" w:color="auto"/>
        <w:right w:val="none" w:sz="0" w:space="0" w:color="auto"/>
      </w:divBdr>
    </w:div>
    <w:div w:id="1262224043">
      <w:bodyDiv w:val="1"/>
      <w:marLeft w:val="0"/>
      <w:marRight w:val="0"/>
      <w:marTop w:val="0"/>
      <w:marBottom w:val="0"/>
      <w:divBdr>
        <w:top w:val="none" w:sz="0" w:space="0" w:color="auto"/>
        <w:left w:val="none" w:sz="0" w:space="0" w:color="auto"/>
        <w:bottom w:val="none" w:sz="0" w:space="0" w:color="auto"/>
        <w:right w:val="none" w:sz="0" w:space="0" w:color="auto"/>
      </w:divBdr>
    </w:div>
    <w:div w:id="1270042179">
      <w:bodyDiv w:val="1"/>
      <w:marLeft w:val="0"/>
      <w:marRight w:val="0"/>
      <w:marTop w:val="0"/>
      <w:marBottom w:val="0"/>
      <w:divBdr>
        <w:top w:val="none" w:sz="0" w:space="0" w:color="auto"/>
        <w:left w:val="none" w:sz="0" w:space="0" w:color="auto"/>
        <w:bottom w:val="none" w:sz="0" w:space="0" w:color="auto"/>
        <w:right w:val="none" w:sz="0" w:space="0" w:color="auto"/>
      </w:divBdr>
    </w:div>
    <w:div w:id="1277558986">
      <w:bodyDiv w:val="1"/>
      <w:marLeft w:val="0"/>
      <w:marRight w:val="0"/>
      <w:marTop w:val="0"/>
      <w:marBottom w:val="0"/>
      <w:divBdr>
        <w:top w:val="none" w:sz="0" w:space="0" w:color="auto"/>
        <w:left w:val="none" w:sz="0" w:space="0" w:color="auto"/>
        <w:bottom w:val="none" w:sz="0" w:space="0" w:color="auto"/>
        <w:right w:val="none" w:sz="0" w:space="0" w:color="auto"/>
      </w:divBdr>
    </w:div>
    <w:div w:id="1293438450">
      <w:bodyDiv w:val="1"/>
      <w:marLeft w:val="0"/>
      <w:marRight w:val="0"/>
      <w:marTop w:val="0"/>
      <w:marBottom w:val="0"/>
      <w:divBdr>
        <w:top w:val="none" w:sz="0" w:space="0" w:color="auto"/>
        <w:left w:val="none" w:sz="0" w:space="0" w:color="auto"/>
        <w:bottom w:val="none" w:sz="0" w:space="0" w:color="auto"/>
        <w:right w:val="none" w:sz="0" w:space="0" w:color="auto"/>
      </w:divBdr>
    </w:div>
    <w:div w:id="1320229491">
      <w:bodyDiv w:val="1"/>
      <w:marLeft w:val="0"/>
      <w:marRight w:val="0"/>
      <w:marTop w:val="0"/>
      <w:marBottom w:val="0"/>
      <w:divBdr>
        <w:top w:val="none" w:sz="0" w:space="0" w:color="auto"/>
        <w:left w:val="none" w:sz="0" w:space="0" w:color="auto"/>
        <w:bottom w:val="none" w:sz="0" w:space="0" w:color="auto"/>
        <w:right w:val="none" w:sz="0" w:space="0" w:color="auto"/>
      </w:divBdr>
    </w:div>
    <w:div w:id="1379358749">
      <w:bodyDiv w:val="1"/>
      <w:marLeft w:val="0"/>
      <w:marRight w:val="0"/>
      <w:marTop w:val="0"/>
      <w:marBottom w:val="0"/>
      <w:divBdr>
        <w:top w:val="none" w:sz="0" w:space="0" w:color="auto"/>
        <w:left w:val="none" w:sz="0" w:space="0" w:color="auto"/>
        <w:bottom w:val="none" w:sz="0" w:space="0" w:color="auto"/>
        <w:right w:val="none" w:sz="0" w:space="0" w:color="auto"/>
      </w:divBdr>
    </w:div>
    <w:div w:id="1390114060">
      <w:bodyDiv w:val="1"/>
      <w:marLeft w:val="0"/>
      <w:marRight w:val="0"/>
      <w:marTop w:val="0"/>
      <w:marBottom w:val="0"/>
      <w:divBdr>
        <w:top w:val="none" w:sz="0" w:space="0" w:color="auto"/>
        <w:left w:val="none" w:sz="0" w:space="0" w:color="auto"/>
        <w:bottom w:val="none" w:sz="0" w:space="0" w:color="auto"/>
        <w:right w:val="none" w:sz="0" w:space="0" w:color="auto"/>
      </w:divBdr>
    </w:div>
    <w:div w:id="1436093565">
      <w:bodyDiv w:val="1"/>
      <w:marLeft w:val="0"/>
      <w:marRight w:val="0"/>
      <w:marTop w:val="0"/>
      <w:marBottom w:val="0"/>
      <w:divBdr>
        <w:top w:val="none" w:sz="0" w:space="0" w:color="auto"/>
        <w:left w:val="none" w:sz="0" w:space="0" w:color="auto"/>
        <w:bottom w:val="none" w:sz="0" w:space="0" w:color="auto"/>
        <w:right w:val="none" w:sz="0" w:space="0" w:color="auto"/>
      </w:divBdr>
    </w:div>
    <w:div w:id="1450318253">
      <w:bodyDiv w:val="1"/>
      <w:marLeft w:val="0"/>
      <w:marRight w:val="0"/>
      <w:marTop w:val="0"/>
      <w:marBottom w:val="0"/>
      <w:divBdr>
        <w:top w:val="none" w:sz="0" w:space="0" w:color="auto"/>
        <w:left w:val="none" w:sz="0" w:space="0" w:color="auto"/>
        <w:bottom w:val="none" w:sz="0" w:space="0" w:color="auto"/>
        <w:right w:val="none" w:sz="0" w:space="0" w:color="auto"/>
      </w:divBdr>
    </w:div>
    <w:div w:id="1453748404">
      <w:bodyDiv w:val="1"/>
      <w:marLeft w:val="0"/>
      <w:marRight w:val="0"/>
      <w:marTop w:val="0"/>
      <w:marBottom w:val="0"/>
      <w:divBdr>
        <w:top w:val="none" w:sz="0" w:space="0" w:color="auto"/>
        <w:left w:val="none" w:sz="0" w:space="0" w:color="auto"/>
        <w:bottom w:val="none" w:sz="0" w:space="0" w:color="auto"/>
        <w:right w:val="none" w:sz="0" w:space="0" w:color="auto"/>
      </w:divBdr>
    </w:div>
    <w:div w:id="1454130842">
      <w:bodyDiv w:val="1"/>
      <w:marLeft w:val="0"/>
      <w:marRight w:val="0"/>
      <w:marTop w:val="0"/>
      <w:marBottom w:val="0"/>
      <w:divBdr>
        <w:top w:val="none" w:sz="0" w:space="0" w:color="auto"/>
        <w:left w:val="none" w:sz="0" w:space="0" w:color="auto"/>
        <w:bottom w:val="none" w:sz="0" w:space="0" w:color="auto"/>
        <w:right w:val="none" w:sz="0" w:space="0" w:color="auto"/>
      </w:divBdr>
    </w:div>
    <w:div w:id="1498032411">
      <w:bodyDiv w:val="1"/>
      <w:marLeft w:val="0"/>
      <w:marRight w:val="0"/>
      <w:marTop w:val="0"/>
      <w:marBottom w:val="0"/>
      <w:divBdr>
        <w:top w:val="none" w:sz="0" w:space="0" w:color="auto"/>
        <w:left w:val="none" w:sz="0" w:space="0" w:color="auto"/>
        <w:bottom w:val="none" w:sz="0" w:space="0" w:color="auto"/>
        <w:right w:val="none" w:sz="0" w:space="0" w:color="auto"/>
      </w:divBdr>
    </w:div>
    <w:div w:id="1523516022">
      <w:bodyDiv w:val="1"/>
      <w:marLeft w:val="0"/>
      <w:marRight w:val="0"/>
      <w:marTop w:val="0"/>
      <w:marBottom w:val="0"/>
      <w:divBdr>
        <w:top w:val="none" w:sz="0" w:space="0" w:color="auto"/>
        <w:left w:val="none" w:sz="0" w:space="0" w:color="auto"/>
        <w:bottom w:val="none" w:sz="0" w:space="0" w:color="auto"/>
        <w:right w:val="none" w:sz="0" w:space="0" w:color="auto"/>
      </w:divBdr>
    </w:div>
    <w:div w:id="1537544757">
      <w:bodyDiv w:val="1"/>
      <w:marLeft w:val="0"/>
      <w:marRight w:val="0"/>
      <w:marTop w:val="0"/>
      <w:marBottom w:val="0"/>
      <w:divBdr>
        <w:top w:val="none" w:sz="0" w:space="0" w:color="auto"/>
        <w:left w:val="none" w:sz="0" w:space="0" w:color="auto"/>
        <w:bottom w:val="none" w:sz="0" w:space="0" w:color="auto"/>
        <w:right w:val="none" w:sz="0" w:space="0" w:color="auto"/>
      </w:divBdr>
    </w:div>
    <w:div w:id="1577016335">
      <w:bodyDiv w:val="1"/>
      <w:marLeft w:val="0"/>
      <w:marRight w:val="0"/>
      <w:marTop w:val="0"/>
      <w:marBottom w:val="0"/>
      <w:divBdr>
        <w:top w:val="none" w:sz="0" w:space="0" w:color="auto"/>
        <w:left w:val="none" w:sz="0" w:space="0" w:color="auto"/>
        <w:bottom w:val="none" w:sz="0" w:space="0" w:color="auto"/>
        <w:right w:val="none" w:sz="0" w:space="0" w:color="auto"/>
      </w:divBdr>
      <w:divsChild>
        <w:div w:id="1880706493">
          <w:marLeft w:val="0"/>
          <w:marRight w:val="0"/>
          <w:marTop w:val="0"/>
          <w:marBottom w:val="0"/>
          <w:divBdr>
            <w:top w:val="single" w:sz="2" w:space="0" w:color="auto"/>
            <w:left w:val="single" w:sz="2" w:space="0" w:color="auto"/>
            <w:bottom w:val="single" w:sz="2" w:space="0" w:color="auto"/>
            <w:right w:val="single" w:sz="2" w:space="0" w:color="auto"/>
          </w:divBdr>
        </w:div>
      </w:divsChild>
    </w:div>
    <w:div w:id="1585526613">
      <w:bodyDiv w:val="1"/>
      <w:marLeft w:val="0"/>
      <w:marRight w:val="0"/>
      <w:marTop w:val="0"/>
      <w:marBottom w:val="0"/>
      <w:divBdr>
        <w:top w:val="none" w:sz="0" w:space="0" w:color="auto"/>
        <w:left w:val="none" w:sz="0" w:space="0" w:color="auto"/>
        <w:bottom w:val="none" w:sz="0" w:space="0" w:color="auto"/>
        <w:right w:val="none" w:sz="0" w:space="0" w:color="auto"/>
      </w:divBdr>
    </w:div>
    <w:div w:id="1597982131">
      <w:bodyDiv w:val="1"/>
      <w:marLeft w:val="0"/>
      <w:marRight w:val="0"/>
      <w:marTop w:val="0"/>
      <w:marBottom w:val="0"/>
      <w:divBdr>
        <w:top w:val="none" w:sz="0" w:space="0" w:color="auto"/>
        <w:left w:val="none" w:sz="0" w:space="0" w:color="auto"/>
        <w:bottom w:val="none" w:sz="0" w:space="0" w:color="auto"/>
        <w:right w:val="none" w:sz="0" w:space="0" w:color="auto"/>
      </w:divBdr>
    </w:div>
    <w:div w:id="1600024985">
      <w:bodyDiv w:val="1"/>
      <w:marLeft w:val="0"/>
      <w:marRight w:val="0"/>
      <w:marTop w:val="0"/>
      <w:marBottom w:val="0"/>
      <w:divBdr>
        <w:top w:val="none" w:sz="0" w:space="0" w:color="auto"/>
        <w:left w:val="none" w:sz="0" w:space="0" w:color="auto"/>
        <w:bottom w:val="none" w:sz="0" w:space="0" w:color="auto"/>
        <w:right w:val="none" w:sz="0" w:space="0" w:color="auto"/>
      </w:divBdr>
    </w:div>
    <w:div w:id="1612860822">
      <w:bodyDiv w:val="1"/>
      <w:marLeft w:val="0"/>
      <w:marRight w:val="0"/>
      <w:marTop w:val="0"/>
      <w:marBottom w:val="0"/>
      <w:divBdr>
        <w:top w:val="none" w:sz="0" w:space="0" w:color="auto"/>
        <w:left w:val="none" w:sz="0" w:space="0" w:color="auto"/>
        <w:bottom w:val="none" w:sz="0" w:space="0" w:color="auto"/>
        <w:right w:val="none" w:sz="0" w:space="0" w:color="auto"/>
      </w:divBdr>
    </w:div>
    <w:div w:id="1621645208">
      <w:bodyDiv w:val="1"/>
      <w:marLeft w:val="0"/>
      <w:marRight w:val="0"/>
      <w:marTop w:val="0"/>
      <w:marBottom w:val="0"/>
      <w:divBdr>
        <w:top w:val="none" w:sz="0" w:space="0" w:color="auto"/>
        <w:left w:val="none" w:sz="0" w:space="0" w:color="auto"/>
        <w:bottom w:val="none" w:sz="0" w:space="0" w:color="auto"/>
        <w:right w:val="none" w:sz="0" w:space="0" w:color="auto"/>
      </w:divBdr>
    </w:div>
    <w:div w:id="1650669647">
      <w:bodyDiv w:val="1"/>
      <w:marLeft w:val="0"/>
      <w:marRight w:val="0"/>
      <w:marTop w:val="0"/>
      <w:marBottom w:val="0"/>
      <w:divBdr>
        <w:top w:val="none" w:sz="0" w:space="0" w:color="auto"/>
        <w:left w:val="none" w:sz="0" w:space="0" w:color="auto"/>
        <w:bottom w:val="none" w:sz="0" w:space="0" w:color="auto"/>
        <w:right w:val="none" w:sz="0" w:space="0" w:color="auto"/>
      </w:divBdr>
    </w:div>
    <w:div w:id="1686176382">
      <w:bodyDiv w:val="1"/>
      <w:marLeft w:val="0"/>
      <w:marRight w:val="0"/>
      <w:marTop w:val="0"/>
      <w:marBottom w:val="0"/>
      <w:divBdr>
        <w:top w:val="none" w:sz="0" w:space="0" w:color="auto"/>
        <w:left w:val="none" w:sz="0" w:space="0" w:color="auto"/>
        <w:bottom w:val="none" w:sz="0" w:space="0" w:color="auto"/>
        <w:right w:val="none" w:sz="0" w:space="0" w:color="auto"/>
      </w:divBdr>
    </w:div>
    <w:div w:id="1723558367">
      <w:bodyDiv w:val="1"/>
      <w:marLeft w:val="0"/>
      <w:marRight w:val="0"/>
      <w:marTop w:val="0"/>
      <w:marBottom w:val="0"/>
      <w:divBdr>
        <w:top w:val="none" w:sz="0" w:space="0" w:color="auto"/>
        <w:left w:val="none" w:sz="0" w:space="0" w:color="auto"/>
        <w:bottom w:val="none" w:sz="0" w:space="0" w:color="auto"/>
        <w:right w:val="none" w:sz="0" w:space="0" w:color="auto"/>
      </w:divBdr>
    </w:div>
    <w:div w:id="1744329233">
      <w:bodyDiv w:val="1"/>
      <w:marLeft w:val="0"/>
      <w:marRight w:val="0"/>
      <w:marTop w:val="0"/>
      <w:marBottom w:val="0"/>
      <w:divBdr>
        <w:top w:val="none" w:sz="0" w:space="0" w:color="auto"/>
        <w:left w:val="none" w:sz="0" w:space="0" w:color="auto"/>
        <w:bottom w:val="none" w:sz="0" w:space="0" w:color="auto"/>
        <w:right w:val="none" w:sz="0" w:space="0" w:color="auto"/>
      </w:divBdr>
    </w:div>
    <w:div w:id="1804156764">
      <w:bodyDiv w:val="1"/>
      <w:marLeft w:val="0"/>
      <w:marRight w:val="0"/>
      <w:marTop w:val="0"/>
      <w:marBottom w:val="0"/>
      <w:divBdr>
        <w:top w:val="none" w:sz="0" w:space="0" w:color="auto"/>
        <w:left w:val="none" w:sz="0" w:space="0" w:color="auto"/>
        <w:bottom w:val="none" w:sz="0" w:space="0" w:color="auto"/>
        <w:right w:val="none" w:sz="0" w:space="0" w:color="auto"/>
      </w:divBdr>
    </w:div>
    <w:div w:id="1806660023">
      <w:bodyDiv w:val="1"/>
      <w:marLeft w:val="0"/>
      <w:marRight w:val="0"/>
      <w:marTop w:val="0"/>
      <w:marBottom w:val="0"/>
      <w:divBdr>
        <w:top w:val="none" w:sz="0" w:space="0" w:color="auto"/>
        <w:left w:val="none" w:sz="0" w:space="0" w:color="auto"/>
        <w:bottom w:val="none" w:sz="0" w:space="0" w:color="auto"/>
        <w:right w:val="none" w:sz="0" w:space="0" w:color="auto"/>
      </w:divBdr>
    </w:div>
    <w:div w:id="1823962701">
      <w:bodyDiv w:val="1"/>
      <w:marLeft w:val="0"/>
      <w:marRight w:val="0"/>
      <w:marTop w:val="0"/>
      <w:marBottom w:val="0"/>
      <w:divBdr>
        <w:top w:val="none" w:sz="0" w:space="0" w:color="auto"/>
        <w:left w:val="none" w:sz="0" w:space="0" w:color="auto"/>
        <w:bottom w:val="none" w:sz="0" w:space="0" w:color="auto"/>
        <w:right w:val="none" w:sz="0" w:space="0" w:color="auto"/>
      </w:divBdr>
    </w:div>
    <w:div w:id="1824926512">
      <w:bodyDiv w:val="1"/>
      <w:marLeft w:val="0"/>
      <w:marRight w:val="0"/>
      <w:marTop w:val="0"/>
      <w:marBottom w:val="0"/>
      <w:divBdr>
        <w:top w:val="none" w:sz="0" w:space="0" w:color="auto"/>
        <w:left w:val="none" w:sz="0" w:space="0" w:color="auto"/>
        <w:bottom w:val="none" w:sz="0" w:space="0" w:color="auto"/>
        <w:right w:val="none" w:sz="0" w:space="0" w:color="auto"/>
      </w:divBdr>
    </w:div>
    <w:div w:id="1851023021">
      <w:bodyDiv w:val="1"/>
      <w:marLeft w:val="0"/>
      <w:marRight w:val="0"/>
      <w:marTop w:val="0"/>
      <w:marBottom w:val="0"/>
      <w:divBdr>
        <w:top w:val="none" w:sz="0" w:space="0" w:color="auto"/>
        <w:left w:val="none" w:sz="0" w:space="0" w:color="auto"/>
        <w:bottom w:val="none" w:sz="0" w:space="0" w:color="auto"/>
        <w:right w:val="none" w:sz="0" w:space="0" w:color="auto"/>
      </w:divBdr>
    </w:div>
    <w:div w:id="1859923526">
      <w:bodyDiv w:val="1"/>
      <w:marLeft w:val="0"/>
      <w:marRight w:val="0"/>
      <w:marTop w:val="0"/>
      <w:marBottom w:val="0"/>
      <w:divBdr>
        <w:top w:val="none" w:sz="0" w:space="0" w:color="auto"/>
        <w:left w:val="none" w:sz="0" w:space="0" w:color="auto"/>
        <w:bottom w:val="none" w:sz="0" w:space="0" w:color="auto"/>
        <w:right w:val="none" w:sz="0" w:space="0" w:color="auto"/>
      </w:divBdr>
    </w:div>
    <w:div w:id="1947543062">
      <w:bodyDiv w:val="1"/>
      <w:marLeft w:val="0"/>
      <w:marRight w:val="0"/>
      <w:marTop w:val="0"/>
      <w:marBottom w:val="0"/>
      <w:divBdr>
        <w:top w:val="none" w:sz="0" w:space="0" w:color="auto"/>
        <w:left w:val="none" w:sz="0" w:space="0" w:color="auto"/>
        <w:bottom w:val="none" w:sz="0" w:space="0" w:color="auto"/>
        <w:right w:val="none" w:sz="0" w:space="0" w:color="auto"/>
      </w:divBdr>
    </w:div>
    <w:div w:id="1966767567">
      <w:bodyDiv w:val="1"/>
      <w:marLeft w:val="0"/>
      <w:marRight w:val="0"/>
      <w:marTop w:val="0"/>
      <w:marBottom w:val="0"/>
      <w:divBdr>
        <w:top w:val="none" w:sz="0" w:space="0" w:color="auto"/>
        <w:left w:val="none" w:sz="0" w:space="0" w:color="auto"/>
        <w:bottom w:val="none" w:sz="0" w:space="0" w:color="auto"/>
        <w:right w:val="none" w:sz="0" w:space="0" w:color="auto"/>
      </w:divBdr>
    </w:div>
    <w:div w:id="2006782645">
      <w:bodyDiv w:val="1"/>
      <w:marLeft w:val="0"/>
      <w:marRight w:val="0"/>
      <w:marTop w:val="0"/>
      <w:marBottom w:val="0"/>
      <w:divBdr>
        <w:top w:val="none" w:sz="0" w:space="0" w:color="auto"/>
        <w:left w:val="none" w:sz="0" w:space="0" w:color="auto"/>
        <w:bottom w:val="none" w:sz="0" w:space="0" w:color="auto"/>
        <w:right w:val="none" w:sz="0" w:space="0" w:color="auto"/>
      </w:divBdr>
    </w:div>
    <w:div w:id="2039116066">
      <w:bodyDiv w:val="1"/>
      <w:marLeft w:val="0"/>
      <w:marRight w:val="0"/>
      <w:marTop w:val="0"/>
      <w:marBottom w:val="0"/>
      <w:divBdr>
        <w:top w:val="none" w:sz="0" w:space="0" w:color="auto"/>
        <w:left w:val="none" w:sz="0" w:space="0" w:color="auto"/>
        <w:bottom w:val="none" w:sz="0" w:space="0" w:color="auto"/>
        <w:right w:val="none" w:sz="0" w:space="0" w:color="auto"/>
      </w:divBdr>
    </w:div>
    <w:div w:id="2065906832">
      <w:bodyDiv w:val="1"/>
      <w:marLeft w:val="0"/>
      <w:marRight w:val="0"/>
      <w:marTop w:val="0"/>
      <w:marBottom w:val="0"/>
      <w:divBdr>
        <w:top w:val="none" w:sz="0" w:space="0" w:color="auto"/>
        <w:left w:val="none" w:sz="0" w:space="0" w:color="auto"/>
        <w:bottom w:val="none" w:sz="0" w:space="0" w:color="auto"/>
        <w:right w:val="none" w:sz="0" w:space="0" w:color="auto"/>
      </w:divBdr>
    </w:div>
    <w:div w:id="2067684600">
      <w:bodyDiv w:val="1"/>
      <w:marLeft w:val="0"/>
      <w:marRight w:val="0"/>
      <w:marTop w:val="0"/>
      <w:marBottom w:val="0"/>
      <w:divBdr>
        <w:top w:val="none" w:sz="0" w:space="0" w:color="auto"/>
        <w:left w:val="none" w:sz="0" w:space="0" w:color="auto"/>
        <w:bottom w:val="none" w:sz="0" w:space="0" w:color="auto"/>
        <w:right w:val="none" w:sz="0" w:space="0" w:color="auto"/>
      </w:divBdr>
    </w:div>
    <w:div w:id="2071533269">
      <w:bodyDiv w:val="1"/>
      <w:marLeft w:val="0"/>
      <w:marRight w:val="0"/>
      <w:marTop w:val="0"/>
      <w:marBottom w:val="0"/>
      <w:divBdr>
        <w:top w:val="none" w:sz="0" w:space="0" w:color="auto"/>
        <w:left w:val="none" w:sz="0" w:space="0" w:color="auto"/>
        <w:bottom w:val="none" w:sz="0" w:space="0" w:color="auto"/>
        <w:right w:val="none" w:sz="0" w:space="0" w:color="auto"/>
      </w:divBdr>
    </w:div>
    <w:div w:id="2094425478">
      <w:bodyDiv w:val="1"/>
      <w:marLeft w:val="0"/>
      <w:marRight w:val="0"/>
      <w:marTop w:val="0"/>
      <w:marBottom w:val="0"/>
      <w:divBdr>
        <w:top w:val="none" w:sz="0" w:space="0" w:color="auto"/>
        <w:left w:val="none" w:sz="0" w:space="0" w:color="auto"/>
        <w:bottom w:val="none" w:sz="0" w:space="0" w:color="auto"/>
        <w:right w:val="none" w:sz="0" w:space="0" w:color="auto"/>
      </w:divBdr>
    </w:div>
    <w:div w:id="214126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ru" TargetMode="Externa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1\&#1048;&#1089;&#1093;&#1086;&#1076;&#1085;&#1099;&#1077;%20&#1076;&#1072;&#1085;&#1085;&#1099;&#1077;\&#1044;&#1080;&#1072;&#1075;&#1088;&#1072;&#1084;&#1084;&#1099;%2020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1\&#1048;&#1089;&#1093;&#1086;&#1076;&#1085;&#1099;&#1077;%20&#1076;&#1072;&#1085;&#1085;&#1099;&#1077;\&#1044;&#1080;&#1072;&#1075;&#1088;&#1072;&#1084;&#1084;&#1099;%2020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1\&#1048;&#1089;&#1093;&#1086;&#1076;&#1085;&#1099;&#1077;%20&#1076;&#1072;&#1085;&#1085;&#1099;&#1077;\&#1050;&#1086;&#1087;&#1080;&#1103;%20&#1044;&#1080;&#1072;&#1075;&#1088;&#1072;&#1084;&#1084;&#1099;%2020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21\&#1048;&#1089;&#1093;&#1086;&#1076;&#1085;&#1099;&#1077;%20&#1076;&#1072;&#1085;&#1085;&#1099;&#1077;\&#1050;&#1086;&#1087;&#1080;&#1103;%20&#1044;&#1080;&#1072;&#1075;&#1088;&#1072;&#1084;&#1084;&#1099;%202021.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172.18.0.4\users\PlanOtdel\Stukolov\5%20&#1043;&#1086;&#1076;&#1086;&#1074;&#1099;&#1077;%20&#1086;&#1090;&#1095;&#1077;&#1090;&#1099;\&#1043;&#1086;&#1076;&#1086;&#1074;&#1086;&#1081;%20&#1086;&#1090;&#1095;&#1077;&#1090;%202021\&#1047;&#1072;&#1087;&#1088;&#1086;&#1089;&#1099;%20&#1087;&#1086;%20&#1086;&#1090;&#1095;&#1077;&#1090;&#1091;%20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7.1813729514793978E-2"/>
          <c:y val="4.8501085926559488E-2"/>
          <c:w val="0.9031846575404826"/>
          <c:h val="0.78609946185610835"/>
        </c:manualLayout>
      </c:layout>
      <c:barChart>
        <c:barDir val="col"/>
        <c:grouping val="clustered"/>
        <c:ser>
          <c:idx val="0"/>
          <c:order val="0"/>
          <c:spPr>
            <a:scene3d>
              <a:camera prst="orthographicFront"/>
              <a:lightRig rig="threePt" dir="t"/>
            </a:scene3d>
            <a:sp3d>
              <a:bevelT w="190500" h="38100"/>
            </a:sp3d>
          </c:spPr>
          <c:cat>
            <c:strRef>
              <c:f>'чугун РФ+СНГ'!$E$4:$E$12</c:f>
              <c:strCache>
                <c:ptCount val="9"/>
                <c:pt idx="0">
                  <c:v>ПАО «КМЗ»</c:v>
                </c:pt>
                <c:pt idx="1">
                  <c:v>ПАО «Тулачермет»</c:v>
                </c:pt>
                <c:pt idx="2">
                  <c:v>ОАО «НТМК»</c:v>
                </c:pt>
                <c:pt idx="3">
                  <c:v>ПАО «НЛМК»</c:v>
                </c:pt>
                <c:pt idx="4">
                  <c:v>ПАО «Северсталь»</c:v>
                </c:pt>
                <c:pt idx="5">
                  <c:v>ПАО «ЧМК» (Мечел)</c:v>
                </c:pt>
                <c:pt idx="6">
                  <c:v>АО «Уральская сталь»</c:v>
                </c:pt>
                <c:pt idx="7">
                  <c:v>ПАО «Надежденский МЗ»</c:v>
                </c:pt>
                <c:pt idx="8">
                  <c:v>Прочие</c:v>
                </c:pt>
              </c:strCache>
              <c:extLst>
                <c:ext xmlns:c15="http://schemas.microsoft.com/office/drawing/2012/chart" uri="{02D57815-91ED-43cb-92C2-25804820EDAC}">
                  <c15:fullRef>
                    <c15:sqref>'чугун РФ+СНГ'!$E$4:$E$13</c15:sqref>
                  </c15:fullRef>
                </c:ext>
              </c:extLst>
            </c:strRef>
          </c:cat>
          <c:val>
            <c:numRef>
              <c:f>'чугун РФ+СНГ'!$F$4:$F$12</c:f>
              <c:numCache>
                <c:formatCode>0.00</c:formatCode>
                <c:ptCount val="9"/>
                <c:pt idx="0">
                  <c:v>103.5</c:v>
                </c:pt>
                <c:pt idx="1">
                  <c:v>263.10000000000002</c:v>
                </c:pt>
                <c:pt idx="2">
                  <c:v>37.700000000000003</c:v>
                </c:pt>
                <c:pt idx="3">
                  <c:v>26.2</c:v>
                </c:pt>
                <c:pt idx="4">
                  <c:v>19.3</c:v>
                </c:pt>
                <c:pt idx="5">
                  <c:v>27.9</c:v>
                </c:pt>
                <c:pt idx="6">
                  <c:v>37.4</c:v>
                </c:pt>
                <c:pt idx="7">
                  <c:v>39.200000000000003</c:v>
                </c:pt>
                <c:pt idx="8">
                  <c:v>111.6</c:v>
                </c:pt>
              </c:numCache>
              <c:extLst>
                <c:ext xmlns:c15="http://schemas.microsoft.com/office/drawing/2012/chart" uri="{02D57815-91ED-43cb-92C2-25804820EDAC}">
                  <c15:fullRef>
                    <c15:sqref>'чугун РФ+СНГ'!$F$4:$F$13</c15:sqref>
                  </c15:fullRef>
                </c:ext>
              </c:extLst>
            </c:numRef>
          </c:val>
        </c:ser>
        <c:dLbls/>
        <c:axId val="155862528"/>
        <c:axId val="155864064"/>
      </c:barChart>
      <c:catAx>
        <c:axId val="155862528"/>
        <c:scaling>
          <c:orientation val="minMax"/>
        </c:scaling>
        <c:axPos val="b"/>
        <c:numFmt formatCode="General" sourceLinked="0"/>
        <c:tickLblPos val="nextTo"/>
        <c:txPr>
          <a:bodyPr/>
          <a:lstStyle/>
          <a:p>
            <a:pPr>
              <a:defRPr sz="600">
                <a:latin typeface="Arial" pitchFamily="34" charset="0"/>
                <a:cs typeface="Arial" pitchFamily="34" charset="0"/>
              </a:defRPr>
            </a:pPr>
            <a:endParaRPr lang="ru-RU"/>
          </a:p>
        </c:txPr>
        <c:crossAx val="155864064"/>
        <c:crosses val="autoZero"/>
        <c:auto val="1"/>
        <c:lblAlgn val="ctr"/>
        <c:lblOffset val="100"/>
      </c:catAx>
      <c:valAx>
        <c:axId val="155864064"/>
        <c:scaling>
          <c:orientation val="minMax"/>
        </c:scaling>
        <c:axPos val="l"/>
        <c:majorGridlines/>
        <c:numFmt formatCode="0.00" sourceLinked="1"/>
        <c:tickLblPos val="nextTo"/>
        <c:crossAx val="155862528"/>
        <c:crosses val="autoZero"/>
        <c:crossBetween val="between"/>
        <c:majorUnit val="50"/>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30240591673252737"/>
          <c:y val="9.9350822353236445E-2"/>
          <c:w val="0.40840571508487189"/>
          <c:h val="0.82809902531027968"/>
        </c:manualLayout>
      </c:layout>
      <c:pieChart>
        <c:varyColors val="1"/>
        <c:ser>
          <c:idx val="0"/>
          <c:order val="0"/>
          <c:dPt>
            <c:idx val="0"/>
            <c:spPr>
              <a:scene3d>
                <a:camera prst="orthographicFront"/>
                <a:lightRig rig="balanced" dir="t">
                  <a:rot lat="0" lon="0" rev="8700000"/>
                </a:lightRig>
              </a:scene3d>
              <a:sp3d>
                <a:bevelT w="190500" h="38100"/>
              </a:sp3d>
            </c:spPr>
          </c:dPt>
          <c:dPt>
            <c:idx val="1"/>
            <c:spPr>
              <a:ln>
                <a:solidFill>
                  <a:sysClr val="windowText" lastClr="000000">
                    <a:lumMod val="65000"/>
                    <a:lumOff val="35000"/>
                  </a:sysClr>
                </a:solidFill>
              </a:ln>
              <a:scene3d>
                <a:camera prst="orthographicFront"/>
                <a:lightRig rig="threePt" dir="t"/>
              </a:scene3d>
              <a:sp3d>
                <a:bevelT w="190500" h="38100"/>
              </a:sp3d>
            </c:spPr>
          </c:dPt>
          <c:dPt>
            <c:idx val="2"/>
            <c:spPr>
              <a:scene3d>
                <a:camera prst="orthographicFront"/>
                <a:lightRig rig="threePt" dir="t"/>
              </a:scene3d>
              <a:sp3d>
                <a:bevelT w="190500" h="38100"/>
              </a:sp3d>
            </c:spPr>
          </c:dPt>
          <c:dPt>
            <c:idx val="3"/>
            <c:spPr>
              <a:scene3d>
                <a:camera prst="orthographicFront"/>
                <a:lightRig rig="threePt" dir="t"/>
              </a:scene3d>
              <a:sp3d>
                <a:bevelT w="190500" h="38100"/>
              </a:sp3d>
            </c:spPr>
          </c:dPt>
          <c:dPt>
            <c:idx val="4"/>
            <c:spPr>
              <a:scene3d>
                <a:camera prst="orthographicFront"/>
                <a:lightRig rig="threePt" dir="t"/>
              </a:scene3d>
              <a:sp3d>
                <a:bevelT w="190500" h="38100"/>
              </a:sp3d>
            </c:spPr>
          </c:dPt>
          <c:dPt>
            <c:idx val="5"/>
            <c:spPr>
              <a:scene3d>
                <a:camera prst="orthographicFront"/>
                <a:lightRig rig="threePt" dir="t"/>
              </a:scene3d>
              <a:sp3d>
                <a:bevelT w="190500" h="38100"/>
              </a:sp3d>
            </c:spPr>
          </c:dPt>
          <c:dPt>
            <c:idx val="6"/>
            <c:spPr>
              <a:scene3d>
                <a:camera prst="orthographicFront"/>
                <a:lightRig rig="threePt" dir="t"/>
              </a:scene3d>
              <a:sp3d>
                <a:bevelT w="190500" h="38100"/>
              </a:sp3d>
            </c:spPr>
          </c:dPt>
          <c:dPt>
            <c:idx val="7"/>
            <c:spPr>
              <a:scene3d>
                <a:camera prst="orthographicFront"/>
                <a:lightRig rig="threePt" dir="t"/>
              </a:scene3d>
              <a:sp3d>
                <a:bevelT w="190500" h="38100"/>
              </a:sp3d>
            </c:spPr>
          </c:dPt>
          <c:dLbls>
            <c:dLbl>
              <c:idx val="0"/>
              <c:layout>
                <c:manualLayout>
                  <c:x val="-0.10008501725388416"/>
                  <c:y val="0.13702764253704924"/>
                </c:manualLayout>
              </c:layout>
              <c:showCatName val="1"/>
              <c:showPercent val="1"/>
              <c:extLst>
                <c:ext xmlns:c15="http://schemas.microsoft.com/office/drawing/2012/chart" uri="{CE6537A1-D6FC-4f65-9D91-7224C49458BB}">
                  <c15:layout/>
                </c:ext>
              </c:extLst>
            </c:dLbl>
            <c:dLbl>
              <c:idx val="1"/>
              <c:layout>
                <c:manualLayout>
                  <c:x val="-0.15128541031136594"/>
                  <c:y val="-0.17468400572967072"/>
                </c:manualLayout>
              </c:layout>
              <c:showCatName val="1"/>
              <c:showPercent val="1"/>
              <c:extLst>
                <c:ext xmlns:c15="http://schemas.microsoft.com/office/drawing/2012/chart" uri="{CE6537A1-D6FC-4f65-9D91-7224C49458BB}">
                  <c15:layout/>
                </c:ext>
              </c:extLst>
            </c:dLbl>
            <c:dLbl>
              <c:idx val="2"/>
              <c:layout>
                <c:manualLayout>
                  <c:x val="2.0049499985341342E-2"/>
                  <c:y val="4.4471981005481387E-2"/>
                </c:manualLayout>
              </c:layout>
              <c:showCatName val="1"/>
              <c:showPercent val="1"/>
              <c:extLst>
                <c:ext xmlns:c15="http://schemas.microsoft.com/office/drawing/2012/chart" uri="{CE6537A1-D6FC-4f65-9D91-7224C49458BB}">
                  <c15:layout/>
                </c:ext>
              </c:extLst>
            </c:dLbl>
            <c:dLbl>
              <c:idx val="3"/>
              <c:layout>
                <c:manualLayout>
                  <c:x val="-7.8946458853137183E-2"/>
                  <c:y val="2.4380947254981352E-2"/>
                </c:manualLayout>
              </c:layout>
              <c:showCatName val="1"/>
              <c:showPercent val="1"/>
              <c:extLst>
                <c:ext xmlns:c15="http://schemas.microsoft.com/office/drawing/2012/chart" uri="{CE6537A1-D6FC-4f65-9D91-7224C49458BB}">
                  <c15:layout/>
                </c:ext>
              </c:extLst>
            </c:dLbl>
            <c:dLbl>
              <c:idx val="4"/>
              <c:layout>
                <c:manualLayout>
                  <c:x val="-6.4839218517759631E-2"/>
                  <c:y val="1.1478653108059979E-2"/>
                </c:manualLayout>
              </c:layout>
              <c:showCatName val="1"/>
              <c:showPercent val="1"/>
              <c:extLst>
                <c:ext xmlns:c15="http://schemas.microsoft.com/office/drawing/2012/chart" uri="{CE6537A1-D6FC-4f65-9D91-7224C49458BB}">
                  <c15:layout/>
                </c:ext>
              </c:extLst>
            </c:dLbl>
            <c:dLbl>
              <c:idx val="5"/>
              <c:layout>
                <c:manualLayout>
                  <c:x val="2.8044950024002299E-3"/>
                  <c:y val="-7.5825320829871288E-3"/>
                </c:manualLayout>
              </c:layout>
              <c:showCatName val="1"/>
              <c:showPercent val="1"/>
              <c:extLst>
                <c:ext xmlns:c15="http://schemas.microsoft.com/office/drawing/2012/chart" uri="{CE6537A1-D6FC-4f65-9D91-7224C49458BB}">
                  <c15:layout>
                    <c:manualLayout>
                      <c:w val="0.24429739492439984"/>
                      <c:h val="8.5163896224949506E-2"/>
                    </c:manualLayout>
                  </c15:layout>
                </c:ext>
              </c:extLst>
            </c:dLbl>
            <c:dLbl>
              <c:idx val="6"/>
              <c:layout>
                <c:manualLayout>
                  <c:x val="1.0389745845539991E-2"/>
                  <c:y val="-1.8143737057993381E-2"/>
                </c:manualLayout>
              </c:layout>
              <c:showCatName val="1"/>
              <c:showPercent val="1"/>
              <c:extLst>
                <c:ext xmlns:c15="http://schemas.microsoft.com/office/drawing/2012/chart" uri="{CE6537A1-D6FC-4f65-9D91-7224C49458BB}">
                  <c15:layout>
                    <c:manualLayout>
                      <c:w val="0.2243680959633132"/>
                      <c:h val="0.1230854105020312"/>
                    </c:manualLayout>
                  </c15:layout>
                </c:ext>
              </c:extLst>
            </c:dLbl>
            <c:dLbl>
              <c:idx val="8"/>
              <c:layout>
                <c:manualLayout>
                  <c:x val="7.0546737213403904E-2"/>
                  <c:y val="0.13049557247164822"/>
                </c:manualLayout>
              </c:layout>
              <c:spPr>
                <a:solidFill>
                  <a:sysClr val="window" lastClr="FFFFFF">
                    <a:alpha val="0"/>
                  </a:sysClr>
                </a:solidFill>
                <a:ln>
                  <a:noFill/>
                </a:ln>
                <a:effectLst/>
              </c:spPr>
              <c:txPr>
                <a:bodyPr lIns="38100" tIns="19050" rIns="38100" bIns="19050">
                  <a:spAutoFit/>
                </a:bodyPr>
                <a:lstStyle/>
                <a:p>
                  <a:pPr>
                    <a:defRPr b="1"/>
                  </a:pPr>
                  <a:endParaRPr lang="ru-RU"/>
                </a:p>
              </c:txPr>
              <c:dLblPos val="bestFit"/>
              <c:showCatName val="1"/>
              <c:showPercent val="1"/>
              <c:extLst>
                <c:ext xmlns:c15="http://schemas.microsoft.com/office/drawing/2012/chart" uri="{CE6537A1-D6FC-4f65-9D91-7224C49458BB}">
                  <c15:spPr xmlns:c15="http://schemas.microsoft.com/office/drawing/2012/chart">
                    <a:prstGeom prst="rect">
                      <a:avLst/>
                    </a:prstGeom>
                  </c15:spPr>
                  <c15:layout/>
                </c:ext>
              </c:extLst>
            </c:dLbl>
            <c:spPr>
              <a:ln>
                <a:noFill/>
              </a:ln>
              <a:scene3d>
                <a:camera prst="orthographicFront"/>
                <a:lightRig rig="threePt" dir="t"/>
              </a:scene3d>
              <a:sp3d>
                <a:bevelT/>
              </a:sp3d>
            </c:spPr>
            <c:txPr>
              <a:bodyPr/>
              <a:lstStyle/>
              <a:p>
                <a:pPr>
                  <a:defRPr b="1"/>
                </a:pPr>
                <a:endParaRPr lang="ru-RU"/>
              </a:p>
            </c:txPr>
            <c:dLblPos val="outEnd"/>
            <c:showCatName val="1"/>
            <c:showPercent val="1"/>
            <c:showLeaderLines val="1"/>
            <c:extLst>
              <c:ext xmlns:c15="http://schemas.microsoft.com/office/drawing/2012/chart" uri="{CE6537A1-D6FC-4f65-9D91-7224C49458BB}">
                <c15:layout/>
              </c:ext>
            </c:extLst>
          </c:dLbls>
          <c:cat>
            <c:strRef>
              <c:f>'чугун РФ+СНГ'!$E$4:$E$12</c:f>
              <c:strCache>
                <c:ptCount val="9"/>
                <c:pt idx="0">
                  <c:v>ПАО «КМЗ»</c:v>
                </c:pt>
                <c:pt idx="1">
                  <c:v>ПАО «Тулачермет»</c:v>
                </c:pt>
                <c:pt idx="2">
                  <c:v>ОАО «НТМК»</c:v>
                </c:pt>
                <c:pt idx="3">
                  <c:v>ПАО «НЛМК»</c:v>
                </c:pt>
                <c:pt idx="4">
                  <c:v>ПАО «Северсталь»</c:v>
                </c:pt>
                <c:pt idx="5">
                  <c:v>ПАО «ЧМК» (Мечел)</c:v>
                </c:pt>
                <c:pt idx="6">
                  <c:v>АО «Уральская сталь»</c:v>
                </c:pt>
                <c:pt idx="7">
                  <c:v>ПАО «Надежденский МЗ»</c:v>
                </c:pt>
                <c:pt idx="8">
                  <c:v>Прочие</c:v>
                </c:pt>
              </c:strCache>
            </c:strRef>
          </c:cat>
          <c:val>
            <c:numRef>
              <c:f>'чугун РФ+СНГ'!$F$4:$F$12</c:f>
              <c:numCache>
                <c:formatCode>0.00</c:formatCode>
                <c:ptCount val="9"/>
                <c:pt idx="0">
                  <c:v>103.5</c:v>
                </c:pt>
                <c:pt idx="1">
                  <c:v>263.10000000000002</c:v>
                </c:pt>
                <c:pt idx="2">
                  <c:v>37.700000000000003</c:v>
                </c:pt>
                <c:pt idx="3">
                  <c:v>26.2</c:v>
                </c:pt>
                <c:pt idx="4">
                  <c:v>19.3</c:v>
                </c:pt>
                <c:pt idx="5">
                  <c:v>27.9</c:v>
                </c:pt>
                <c:pt idx="6">
                  <c:v>37.4</c:v>
                </c:pt>
                <c:pt idx="7">
                  <c:v>39.200000000000003</c:v>
                </c:pt>
                <c:pt idx="8">
                  <c:v>111.6</c:v>
                </c:pt>
              </c:numCache>
            </c:numRef>
          </c:val>
        </c:ser>
        <c:dLbls>
          <c:showVal val="1"/>
        </c:dLbls>
        <c:firstSliceAng val="0"/>
      </c:pieChart>
    </c:plotArea>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Pt>
            <c:idx val="0"/>
          </c:dPt>
          <c:dLbls>
            <c:dLbl>
              <c:idx val="0"/>
              <c:layout>
                <c:manualLayout>
                  <c:x val="-0.17723250218722747"/>
                  <c:y val="0.11042359288422282"/>
                </c:manualLayout>
              </c:layout>
              <c:tx>
                <c:rich>
                  <a:bodyPr/>
                  <a:lstStyle/>
                  <a:p>
                    <a:fld id="{2CCA42C0-1745-4BC2-B302-B2F99559EDBA}" type="CATEGORYNAME">
                      <a:rPr lang="ru-RU"/>
                      <a:pPr/>
                      <a:t>[ИМЯ КАТЕГОРИИ]</a:t>
                    </a:fld>
                    <a:r>
                      <a:rPr lang="ru-RU" baseline="0"/>
                      <a:t>
45-49%</a:t>
                    </a:r>
                  </a:p>
                </c:rich>
              </c:tx>
              <c:showCatName val="1"/>
              <c:showPercent val="1"/>
              <c:extLst>
                <c:ext xmlns:c15="http://schemas.microsoft.com/office/drawing/2012/chart" uri="{CE6537A1-D6FC-4f65-9D91-7224C49458BB}">
                  <c15:layout/>
                  <c15:dlblFieldTable/>
                  <c15:showDataLabelsRange val="0"/>
                </c:ext>
              </c:extLst>
            </c:dLbl>
            <c:dLbl>
              <c:idx val="1"/>
              <c:layout>
                <c:manualLayout>
                  <c:x val="0.13462314085739313"/>
                  <c:y val="-0.24115740740740763"/>
                </c:manualLayout>
              </c:layout>
              <c:tx>
                <c:rich>
                  <a:bodyPr/>
                  <a:lstStyle/>
                  <a:p>
                    <a:fld id="{611E153B-07C6-48CD-8859-744130B7A26E}" type="CATEGORYNAME">
                      <a:rPr lang="ru-RU"/>
                      <a:pPr/>
                      <a:t>[ИМЯ КАТЕГОРИИ]</a:t>
                    </a:fld>
                    <a:r>
                      <a:rPr lang="ru-RU" baseline="0"/>
                      <a:t>
38-42%</a:t>
                    </a:r>
                  </a:p>
                </c:rich>
              </c:tx>
              <c:showCatName val="1"/>
              <c:showPercent val="1"/>
              <c:extLst>
                <c:ext xmlns:c15="http://schemas.microsoft.com/office/drawing/2012/chart" uri="{CE6537A1-D6FC-4f65-9D91-7224C49458BB}">
                  <c15:layout/>
                  <c15:dlblFieldTable/>
                  <c15:showDataLabelsRange val="0"/>
                </c:ext>
              </c:extLst>
            </c:dLbl>
            <c:dLbl>
              <c:idx val="2"/>
              <c:layout>
                <c:manualLayout>
                  <c:x val="-6.0579177602799648E-2"/>
                  <c:y val="0.13137175561388112"/>
                </c:manualLayout>
              </c:layout>
              <c:tx>
                <c:rich>
                  <a:bodyPr/>
                  <a:lstStyle/>
                  <a:p>
                    <a:fld id="{DB7775D1-E9E0-412C-B9DC-9EFE064C98E1}" type="CATEGORYNAME">
                      <a:rPr lang="ru-RU"/>
                      <a:pPr/>
                      <a:t>[ИМЯ КАТЕГОРИИ]</a:t>
                    </a:fld>
                    <a:r>
                      <a:rPr lang="ru-RU" baseline="0"/>
                      <a:t>
5-7%</a:t>
                    </a:r>
                  </a:p>
                </c:rich>
              </c:tx>
              <c:showCatName val="1"/>
              <c:showPercent val="1"/>
              <c:extLst>
                <c:ext xmlns:c15="http://schemas.microsoft.com/office/drawing/2012/chart" uri="{CE6537A1-D6FC-4f65-9D91-7224C49458BB}">
                  <c15:layout/>
                  <c15:dlblFieldTable/>
                  <c15:showDataLabelsRange val="0"/>
                </c:ext>
              </c:extLst>
            </c:dLbl>
            <c:dLbl>
              <c:idx val="3"/>
              <c:layout>
                <c:manualLayout>
                  <c:x val="-0.17099606299212639"/>
                  <c:y val="1.7117964421114022E-2"/>
                </c:manualLayout>
              </c:layout>
              <c:tx>
                <c:rich>
                  <a:bodyPr/>
                  <a:lstStyle/>
                  <a:p>
                    <a:fld id="{C4ED53C5-9BB3-4C40-9699-E1A6AB4F8BBB}" type="CATEGORYNAME">
                      <a:rPr lang="ru-RU"/>
                      <a:pPr/>
                      <a:t>[ИМЯ КАТЕГОРИИ]</a:t>
                    </a:fld>
                    <a:r>
                      <a:rPr lang="ru-RU" baseline="0"/>
                      <a:t>
5-7%</a:t>
                    </a:r>
                  </a:p>
                </c:rich>
              </c:tx>
              <c:showCatName val="1"/>
              <c:showPercent val="1"/>
              <c:extLst>
                <c:ext xmlns:c15="http://schemas.microsoft.com/office/drawing/2012/chart" uri="{CE6537A1-D6FC-4f65-9D91-7224C49458BB}">
                  <c15:layout/>
                  <c15:dlblFieldTable/>
                  <c15:showDataLabelsRange val="0"/>
                </c:ext>
              </c:extLst>
            </c:dLbl>
            <c:dLbl>
              <c:idx val="4"/>
              <c:layout>
                <c:manualLayout>
                  <c:x val="0.14209930008748964"/>
                  <c:y val="1.0416666666666666E-2"/>
                </c:manualLayout>
              </c:layout>
              <c:tx>
                <c:rich>
                  <a:bodyPr/>
                  <a:lstStyle/>
                  <a:p>
                    <a:fld id="{1A53D079-FB30-4E6F-9431-159231E89186}" type="CATEGORYNAME">
                      <a:rPr lang="ru-RU"/>
                      <a:pPr/>
                      <a:t>[ИМЯ КАТЕГОРИИ]</a:t>
                    </a:fld>
                    <a:r>
                      <a:rPr lang="ru-RU" baseline="0"/>
                      <a:t>
не более 1%</a:t>
                    </a:r>
                  </a:p>
                </c:rich>
              </c:tx>
              <c:showCatName val="1"/>
              <c:showPercent val="1"/>
              <c:extLst>
                <c:ext xmlns:c15="http://schemas.microsoft.com/office/drawing/2012/chart" uri="{CE6537A1-D6FC-4f65-9D91-7224C49458BB}">
                  <c15:layout/>
                  <c15:dlblFieldTable/>
                  <c15:showDataLabelsRange val="0"/>
                </c:ext>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extLst>
          </c:dLbls>
          <c:cat>
            <c:strRef>
              <c:f>'ФМн РФ'!$B$4:$B$8</c:f>
              <c:strCache>
                <c:ptCount val="5"/>
                <c:pt idx="0">
                  <c:v>АО «СЧПЗ»</c:v>
                </c:pt>
                <c:pt idx="1">
                  <c:v>ПАО «КМЗ»</c:v>
                </c:pt>
                <c:pt idx="2">
                  <c:v>Группа компаний «Приват»</c:v>
                </c:pt>
                <c:pt idx="3">
                  <c:v>АО «ЧЭМК»</c:v>
                </c:pt>
                <c:pt idx="4">
                  <c:v>Импорт из Индии, Китая, Европы</c:v>
                </c:pt>
              </c:strCache>
            </c:strRef>
          </c:cat>
          <c:val>
            <c:numRef>
              <c:f>'ФМн РФ'!$C$4:$C$8</c:f>
              <c:numCache>
                <c:formatCode>0.00%</c:formatCode>
                <c:ptCount val="5"/>
                <c:pt idx="0">
                  <c:v>0.47000000000000003</c:v>
                </c:pt>
                <c:pt idx="1">
                  <c:v>0.4</c:v>
                </c:pt>
                <c:pt idx="2">
                  <c:v>6.0000000000000005E-2</c:v>
                </c:pt>
                <c:pt idx="3">
                  <c:v>6.0000000000000005E-2</c:v>
                </c:pt>
                <c:pt idx="4">
                  <c:v>1.0000000000000011E-2</c:v>
                </c:pt>
              </c:numCache>
            </c:numRef>
          </c:val>
        </c:ser>
        <c:dLbls/>
        <c:firstSliceAng val="0"/>
      </c:pieChart>
    </c:plotArea>
    <c:plotVisOnly val="1"/>
    <c:dispBlanksAs val="zero"/>
  </c:chart>
  <c:spPr>
    <a:ln>
      <a:solidFill>
        <a:schemeClr val="tx1"/>
      </a:solid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Lbls>
            <c:dLbl>
              <c:idx val="0"/>
              <c:layout>
                <c:manualLayout>
                  <c:x val="-0.13546922991009144"/>
                  <c:y val="0.16435131766047145"/>
                </c:manualLayout>
              </c:layout>
              <c:showCatName val="1"/>
              <c:showPercent val="1"/>
              <c:extLst>
                <c:ext xmlns:c15="http://schemas.microsoft.com/office/drawing/2012/chart" uri="{CE6537A1-D6FC-4f65-9D91-7224C49458BB}">
                  <c15:layout/>
                </c:ext>
              </c:extLst>
            </c:dLbl>
            <c:dLbl>
              <c:idx val="1"/>
              <c:layout>
                <c:manualLayout>
                  <c:x val="-0.1667452672139387"/>
                  <c:y val="-0.14676614110587091"/>
                </c:manualLayout>
              </c:layout>
              <c:showCatName val="1"/>
              <c:showPercent val="1"/>
              <c:extLst>
                <c:ext xmlns:c15="http://schemas.microsoft.com/office/drawing/2012/chart" uri="{CE6537A1-D6FC-4f65-9D91-7224C49458BB}">
                  <c15:layout/>
                </c:ext>
              </c:extLst>
            </c:dLbl>
            <c:dLbl>
              <c:idx val="2"/>
              <c:layout>
                <c:manualLayout>
                  <c:x val="-7.7260289272351821E-4"/>
                  <c:y val="-0.19181778888617498"/>
                </c:manualLayout>
              </c:layout>
              <c:showCatName val="1"/>
              <c:showPercent val="1"/>
              <c:extLst>
                <c:ext xmlns:c15="http://schemas.microsoft.com/office/drawing/2012/chart" uri="{CE6537A1-D6FC-4f65-9D91-7224C49458BB}">
                  <c15:layout/>
                </c:ext>
              </c:extLst>
            </c:dLbl>
            <c:dLbl>
              <c:idx val="3"/>
              <c:layout>
                <c:manualLayout>
                  <c:x val="-2.0440750815061796E-2"/>
                  <c:y val="-2.5565432005963482E-2"/>
                </c:manualLayout>
              </c:layout>
              <c:showCatName val="1"/>
              <c:showPercent val="1"/>
              <c:extLst>
                <c:ext xmlns:c15="http://schemas.microsoft.com/office/drawing/2012/chart" uri="{CE6537A1-D6FC-4f65-9D91-7224C49458BB}">
                  <c15:layout>
                    <c:manualLayout>
                      <c:w val="0.23308896068959478"/>
                      <c:h val="0.30614457831325298"/>
                    </c:manualLayout>
                  </c15:layout>
                </c:ext>
              </c:extLst>
            </c:dLbl>
            <c:dLbl>
              <c:idx val="4"/>
              <c:layout>
                <c:manualLayout>
                  <c:x val="-4.183475735745798E-2"/>
                  <c:y val="3.0655165717650701E-2"/>
                </c:manualLayout>
              </c:layout>
              <c:showCatName val="1"/>
              <c:showPercent val="1"/>
              <c:extLst>
                <c:ext xmlns:c15="http://schemas.microsoft.com/office/drawing/2012/chart" uri="{CE6537A1-D6FC-4f65-9D91-7224C49458BB}">
                  <c15:layout/>
                </c:ext>
              </c:extLst>
            </c:dLbl>
            <c:dLbl>
              <c:idx val="5"/>
              <c:layout>
                <c:manualLayout>
                  <c:x val="-2.6941242112893646E-2"/>
                  <c:y val="3.7990215423549814E-2"/>
                </c:manualLayout>
              </c:layout>
              <c:showCatName val="1"/>
              <c:showPercent val="1"/>
              <c:extLst>
                <c:ext xmlns:c15="http://schemas.microsoft.com/office/drawing/2012/chart" uri="{CE6537A1-D6FC-4f65-9D91-7224C49458BB}">
                  <c15:layout>
                    <c:manualLayout>
                      <c:w val="0.21260246759584095"/>
                      <c:h val="0.2081124497991968"/>
                    </c:manualLayout>
                  </c15:layout>
                </c:ext>
              </c:extLst>
            </c:dLbl>
            <c:dLbl>
              <c:idx val="6"/>
              <c:layout>
                <c:manualLayout>
                  <c:x val="-2.0690512090244046E-2"/>
                  <c:y val="-2.9760146330157368E-2"/>
                </c:manualLayout>
              </c:layout>
              <c:showCatName val="1"/>
              <c:showPercent val="1"/>
              <c:extLst>
                <c:ext xmlns:c15="http://schemas.microsoft.com/office/drawing/2012/chart" uri="{CE6537A1-D6FC-4f65-9D91-7224C49458BB}">
                  <c15:layout/>
                </c:ext>
              </c:extLst>
            </c:dLbl>
            <c:dLbl>
              <c:idx val="7"/>
              <c:delete val="1"/>
              <c:extLst>
                <c:ext xmlns:c15="http://schemas.microsoft.com/office/drawing/2012/chart" uri="{CE6537A1-D6FC-4f65-9D91-7224C49458BB}">
                  <c15:layout/>
                </c:ext>
              </c:extLst>
            </c:dLbl>
            <c:dLbl>
              <c:idx val="8"/>
              <c:delete val="1"/>
              <c:extLst>
                <c:ext xmlns:c15="http://schemas.microsoft.com/office/drawing/2012/chart" uri="{CE6537A1-D6FC-4f65-9D91-7224C49458BB}">
                  <c15:layout/>
                </c:ext>
              </c:extLst>
            </c:dLbl>
            <c:spPr>
              <a:noFill/>
              <a:ln>
                <a:noFill/>
              </a:ln>
              <a:effectLst/>
            </c:spPr>
            <c:txPr>
              <a:bodyPr/>
              <a:lstStyle/>
              <a:p>
                <a:pPr>
                  <a:defRPr b="1"/>
                </a:pPr>
                <a:endParaRPr lang="ru-RU"/>
              </a:p>
            </c:txPr>
            <c:showCatName val="1"/>
            <c:showPercent val="1"/>
            <c:showLeaderLines val="1"/>
            <c:extLst>
              <c:ext xmlns:c15="http://schemas.microsoft.com/office/drawing/2012/chart" uri="{CE6537A1-D6FC-4f65-9D91-7224C49458BB}"/>
            </c:extLst>
          </c:dLbls>
          <c:cat>
            <c:strRef>
              <c:f>'ФМн потребители'!$B$4:$B$12</c:f>
              <c:strCache>
                <c:ptCount val="7"/>
                <c:pt idx="0">
                  <c:v>ПАО «НЛМК»</c:v>
                </c:pt>
                <c:pt idx="1">
                  <c:v>ПАО «Северсталь»</c:v>
                </c:pt>
                <c:pt idx="2">
                  <c:v>ПАО «ЧМК» («Мечел»)</c:v>
                </c:pt>
                <c:pt idx="3">
                  <c:v>ОАО «Магнитогорский металлургический комбинат»</c:v>
                </c:pt>
                <c:pt idx="4">
                  <c:v>ЕВРАЗ групп</c:v>
                </c:pt>
                <c:pt idx="5">
                  <c:v>ООО УК «Металлоинвест»</c:v>
                </c:pt>
                <c:pt idx="6">
                  <c:v>Прочие</c:v>
                </c:pt>
              </c:strCache>
            </c:strRef>
          </c:cat>
          <c:val>
            <c:numRef>
              <c:f>'ФМн потребители'!$C$4:$C$12</c:f>
              <c:numCache>
                <c:formatCode>#,##0</c:formatCode>
                <c:ptCount val="9"/>
                <c:pt idx="0">
                  <c:v>49000</c:v>
                </c:pt>
                <c:pt idx="1">
                  <c:v>24000</c:v>
                </c:pt>
                <c:pt idx="2">
                  <c:v>20000</c:v>
                </c:pt>
                <c:pt idx="3">
                  <c:v>20000</c:v>
                </c:pt>
                <c:pt idx="4">
                  <c:v>12000</c:v>
                </c:pt>
                <c:pt idx="5">
                  <c:v>7000</c:v>
                </c:pt>
                <c:pt idx="6">
                  <c:v>25000</c:v>
                </c:pt>
              </c:numCache>
            </c:numRef>
          </c:val>
        </c:ser>
        <c:dLbls/>
        <c:firstSliceAng val="0"/>
      </c:pieChart>
    </c:plotArea>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autoTitleDeleted val="1"/>
    <c:plotArea>
      <c:layout/>
      <c:lineChart>
        <c:grouping val="standard"/>
        <c:ser>
          <c:idx val="0"/>
          <c:order val="0"/>
          <c:tx>
            <c:strRef>
              <c:f>'Цены на ГП'!$A$17</c:f>
              <c:strCache>
                <c:ptCount val="1"/>
                <c:pt idx="0">
                  <c:v>Окатыши</c:v>
                </c:pt>
              </c:strCache>
            </c:strRef>
          </c:tx>
          <c:spPr>
            <a:ln w="28575" cap="rnd">
              <a:solidFill>
                <a:schemeClr val="accent1"/>
              </a:solidFill>
              <a:round/>
            </a:ln>
            <a:effectLst/>
          </c:spPr>
          <c:marker>
            <c:symbol val="none"/>
          </c:marker>
          <c:cat>
            <c:strRef>
              <c:f>'Цены на ГП'!$B$16:$E$16</c:f>
              <c:strCache>
                <c:ptCount val="4"/>
                <c:pt idx="0">
                  <c:v>1 кв. 2021</c:v>
                </c:pt>
                <c:pt idx="1">
                  <c:v>2 кв. 2021</c:v>
                </c:pt>
                <c:pt idx="2">
                  <c:v>3 кв. 2021</c:v>
                </c:pt>
                <c:pt idx="3">
                  <c:v>4 кв. 2021</c:v>
                </c:pt>
              </c:strCache>
            </c:strRef>
          </c:cat>
          <c:val>
            <c:numRef>
              <c:f>'Цены на ГП'!$B$17:$E$17</c:f>
              <c:numCache>
                <c:formatCode>#,##0.00</c:formatCode>
                <c:ptCount val="4"/>
                <c:pt idx="0">
                  <c:v>10669.962100335533</c:v>
                </c:pt>
                <c:pt idx="1">
                  <c:v>14616.593054207849</c:v>
                </c:pt>
                <c:pt idx="2">
                  <c:v>16787.818864347006</c:v>
                </c:pt>
                <c:pt idx="3">
                  <c:v>9619.952371932015</c:v>
                </c:pt>
              </c:numCache>
            </c:numRef>
          </c:val>
          <c:smooth val="1"/>
        </c:ser>
        <c:ser>
          <c:idx val="1"/>
          <c:order val="1"/>
          <c:tx>
            <c:strRef>
              <c:f>'Цены на ГП'!$A$18</c:f>
              <c:strCache>
                <c:ptCount val="1"/>
                <c:pt idx="0">
                  <c:v>Марганцевая руда</c:v>
                </c:pt>
              </c:strCache>
            </c:strRef>
          </c:tx>
          <c:spPr>
            <a:ln w="28575" cap="rnd">
              <a:solidFill>
                <a:schemeClr val="accent2"/>
              </a:solidFill>
              <a:round/>
            </a:ln>
            <a:effectLst/>
          </c:spPr>
          <c:marker>
            <c:symbol val="none"/>
          </c:marker>
          <c:cat>
            <c:strRef>
              <c:f>'Цены на ГП'!$B$16:$E$16</c:f>
              <c:strCache>
                <c:ptCount val="4"/>
                <c:pt idx="0">
                  <c:v>1 кв. 2021</c:v>
                </c:pt>
                <c:pt idx="1">
                  <c:v>2 кв. 2021</c:v>
                </c:pt>
                <c:pt idx="2">
                  <c:v>3 кв. 2021</c:v>
                </c:pt>
                <c:pt idx="3">
                  <c:v>4 кв. 2021</c:v>
                </c:pt>
              </c:strCache>
            </c:strRef>
          </c:cat>
          <c:val>
            <c:numRef>
              <c:f>'Цены на ГП'!$B$18:$E$18</c:f>
              <c:numCache>
                <c:formatCode>#,##0.00</c:formatCode>
                <c:ptCount val="4"/>
                <c:pt idx="0">
                  <c:v>13509.334052638476</c:v>
                </c:pt>
                <c:pt idx="1">
                  <c:v>15787.451402012024</c:v>
                </c:pt>
                <c:pt idx="2">
                  <c:v>15144.063671372614</c:v>
                </c:pt>
                <c:pt idx="3">
                  <c:v>14887.799562310087</c:v>
                </c:pt>
              </c:numCache>
            </c:numRef>
          </c:val>
          <c:smooth val="1"/>
        </c:ser>
        <c:ser>
          <c:idx val="2"/>
          <c:order val="2"/>
          <c:tx>
            <c:strRef>
              <c:f>'Цены на ГП'!$A$19</c:f>
              <c:strCache>
                <c:ptCount val="1"/>
                <c:pt idx="0">
                  <c:v>Кокс</c:v>
                </c:pt>
              </c:strCache>
            </c:strRef>
          </c:tx>
          <c:spPr>
            <a:ln w="28575" cap="rnd">
              <a:solidFill>
                <a:schemeClr val="accent3"/>
              </a:solidFill>
              <a:round/>
            </a:ln>
            <a:effectLst/>
          </c:spPr>
          <c:marker>
            <c:symbol val="none"/>
          </c:marker>
          <c:cat>
            <c:strRef>
              <c:f>'Цены на ГП'!$B$16:$E$16</c:f>
              <c:strCache>
                <c:ptCount val="4"/>
                <c:pt idx="0">
                  <c:v>1 кв. 2021</c:v>
                </c:pt>
                <c:pt idx="1">
                  <c:v>2 кв. 2021</c:v>
                </c:pt>
                <c:pt idx="2">
                  <c:v>3 кв. 2021</c:v>
                </c:pt>
                <c:pt idx="3">
                  <c:v>4 кв. 2021</c:v>
                </c:pt>
              </c:strCache>
            </c:strRef>
          </c:cat>
          <c:val>
            <c:numRef>
              <c:f>'Цены на ГП'!$B$19:$E$19</c:f>
              <c:numCache>
                <c:formatCode>#,##0.00</c:formatCode>
                <c:ptCount val="4"/>
                <c:pt idx="0">
                  <c:v>19550.812679569492</c:v>
                </c:pt>
                <c:pt idx="1">
                  <c:v>23713.0151516519</c:v>
                </c:pt>
                <c:pt idx="2">
                  <c:v>27320.819575714457</c:v>
                </c:pt>
                <c:pt idx="3">
                  <c:v>35328.201242005576</c:v>
                </c:pt>
              </c:numCache>
            </c:numRef>
          </c:val>
          <c:smooth val="1"/>
        </c:ser>
        <c:dLbls/>
        <c:marker val="1"/>
        <c:axId val="156767360"/>
        <c:axId val="156768896"/>
      </c:lineChart>
      <c:catAx>
        <c:axId val="15676736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6768896"/>
        <c:crosses val="autoZero"/>
        <c:auto val="1"/>
        <c:lblAlgn val="ctr"/>
        <c:lblOffset val="100"/>
      </c:catAx>
      <c:valAx>
        <c:axId val="156768896"/>
        <c:scaling>
          <c:orientation val="minMax"/>
          <c:min val="10000"/>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6767360"/>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0.17708</cdr:x>
      <cdr:y>0.09722</cdr:y>
    </cdr:from>
    <cdr:to>
      <cdr:x>0.52917</cdr:x>
      <cdr:y>0.17014</cdr:y>
    </cdr:to>
    <cdr:sp macro="" textlink="">
      <cdr:nvSpPr>
        <cdr:cNvPr id="2" name="TextBox 1"/>
        <cdr:cNvSpPr txBox="1"/>
      </cdr:nvSpPr>
      <cdr:spPr>
        <a:xfrm xmlns:a="http://schemas.openxmlformats.org/drawingml/2006/main">
          <a:off x="809625" y="266700"/>
          <a:ext cx="1609725"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0.15235</cdr:x>
      <cdr:y>0.63393</cdr:y>
    </cdr:from>
    <cdr:to>
      <cdr:x>0.46902</cdr:x>
      <cdr:y>0.77846</cdr:y>
    </cdr:to>
    <cdr:sp macro="" textlink="">
      <cdr:nvSpPr>
        <cdr:cNvPr id="3" name="TextBox 2"/>
        <cdr:cNvSpPr txBox="1"/>
      </cdr:nvSpPr>
      <cdr:spPr>
        <a:xfrm xmlns:a="http://schemas.openxmlformats.org/drawingml/2006/main">
          <a:off x="773433" y="1962421"/>
          <a:ext cx="1607678" cy="4474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Марганцевая</a:t>
          </a:r>
        </a:p>
        <a:p xmlns:a="http://schemas.openxmlformats.org/drawingml/2006/main">
          <a:r>
            <a:rPr lang="ru-RU" sz="1100"/>
            <a:t>руда</a:t>
          </a:r>
        </a:p>
      </cdr:txBody>
    </cdr:sp>
  </cdr:relSizeAnchor>
  <cdr:relSizeAnchor xmlns:cdr="http://schemas.openxmlformats.org/drawingml/2006/chartDrawing">
    <cdr:from>
      <cdr:x>0.18958</cdr:x>
      <cdr:y>0.5</cdr:y>
    </cdr:from>
    <cdr:to>
      <cdr:x>0.51875</cdr:x>
      <cdr:y>0.60764</cdr:y>
    </cdr:to>
    <cdr:sp macro="" textlink="">
      <cdr:nvSpPr>
        <cdr:cNvPr id="4" name="TextBox 3"/>
        <cdr:cNvSpPr txBox="1"/>
      </cdr:nvSpPr>
      <cdr:spPr>
        <a:xfrm xmlns:a="http://schemas.openxmlformats.org/drawingml/2006/main">
          <a:off x="866775" y="1371600"/>
          <a:ext cx="1504950" cy="29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0.81297</cdr:x>
      <cdr:y>0.80821</cdr:y>
    </cdr:from>
    <cdr:to>
      <cdr:x>1</cdr:x>
      <cdr:y>0.91385</cdr:y>
    </cdr:to>
    <cdr:sp macro="" textlink="">
      <cdr:nvSpPr>
        <cdr:cNvPr id="5" name="TextBox 4"/>
        <cdr:cNvSpPr txBox="1"/>
      </cdr:nvSpPr>
      <cdr:spPr>
        <a:xfrm xmlns:a="http://schemas.openxmlformats.org/drawingml/2006/main">
          <a:off x="4127303" y="2501911"/>
          <a:ext cx="949522" cy="32701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Окатыши</a:t>
          </a:r>
        </a:p>
      </cdr:txBody>
    </cdr:sp>
  </cdr:relSizeAnchor>
  <cdr:relSizeAnchor xmlns:cdr="http://schemas.openxmlformats.org/drawingml/2006/chartDrawing">
    <cdr:from>
      <cdr:x>0.7625</cdr:x>
      <cdr:y>0.10869</cdr:y>
    </cdr:from>
    <cdr:to>
      <cdr:x>1</cdr:x>
      <cdr:y>0.23021</cdr:y>
    </cdr:to>
    <cdr:sp macro="" textlink="">
      <cdr:nvSpPr>
        <cdr:cNvPr id="6" name="TextBox 5"/>
        <cdr:cNvSpPr txBox="1"/>
      </cdr:nvSpPr>
      <cdr:spPr>
        <a:xfrm xmlns:a="http://schemas.openxmlformats.org/drawingml/2006/main">
          <a:off x="3871079" y="336461"/>
          <a:ext cx="1205746" cy="3761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Кокс</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332A4-470D-4468-9182-D8A2DACA8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9633</Words>
  <Characters>54913</Characters>
  <Application>Microsoft Office Word</Application>
  <DocSecurity>4</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64418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Управление продаж Чачина Т.В.</cp:lastModifiedBy>
  <cp:revision>2</cp:revision>
  <cp:lastPrinted>2022-04-12T12:40:00Z</cp:lastPrinted>
  <dcterms:created xsi:type="dcterms:W3CDTF">2022-06-09T08:02:00Z</dcterms:created>
  <dcterms:modified xsi:type="dcterms:W3CDTF">2022-06-09T08:02:00Z</dcterms:modified>
</cp:coreProperties>
</file>